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0632">
      <w:pPr>
        <w:overflowPunct w:val="0"/>
        <w:topLinePunct/>
        <w:spacing w:line="360" w:lineRule="auto"/>
        <w:jc w:val="center"/>
        <w:rPr>
          <w:rFonts w:ascii="宋体" w:hAnsi="宋体"/>
          <w:sz w:val="24"/>
          <w:u w:val="none" w:color="auto"/>
        </w:rPr>
      </w:pPr>
    </w:p>
    <w:p w14:paraId="1281CCEA">
      <w:pPr>
        <w:overflowPunct w:val="0"/>
        <w:topLinePunct/>
        <w:spacing w:line="360" w:lineRule="auto"/>
        <w:jc w:val="center"/>
        <w:rPr>
          <w:rFonts w:ascii="宋体" w:hAnsi="宋体"/>
          <w:sz w:val="24"/>
          <w:u w:val="none" w:color="auto"/>
        </w:rPr>
      </w:pPr>
    </w:p>
    <w:p w14:paraId="2974FA03">
      <w:pPr>
        <w:overflowPunct w:val="0"/>
        <w:topLinePunct/>
        <w:spacing w:line="360" w:lineRule="auto"/>
        <w:jc w:val="center"/>
        <w:rPr>
          <w:rFonts w:ascii="宋体" w:hAnsi="宋体"/>
          <w:b/>
          <w:bCs/>
          <w:sz w:val="52"/>
          <w:szCs w:val="52"/>
          <w:u w:val="none" w:color="auto"/>
        </w:rPr>
      </w:pPr>
      <w:r>
        <w:rPr>
          <w:rFonts w:ascii="宋体" w:hAnsi="宋体"/>
          <w:b/>
          <w:bCs/>
          <w:sz w:val="52"/>
          <w:szCs w:val="52"/>
          <w:u w:val="none" w:color="auto"/>
        </w:rPr>
        <w:t>2023</w:t>
      </w:r>
      <w:r>
        <w:rPr>
          <w:rFonts w:hint="eastAsia" w:ascii="宋体" w:hAnsi="宋体"/>
          <w:b/>
          <w:bCs/>
          <w:sz w:val="52"/>
          <w:szCs w:val="52"/>
          <w:u w:val="none" w:color="auto"/>
        </w:rPr>
        <w:t>年度鄂尔多斯市总工会（部门）</w:t>
      </w:r>
    </w:p>
    <w:p w14:paraId="1B3C3009">
      <w:pPr>
        <w:overflowPunct w:val="0"/>
        <w:topLinePunct/>
        <w:spacing w:line="360" w:lineRule="auto"/>
        <w:jc w:val="center"/>
        <w:outlineLvl w:val="0"/>
        <w:rPr>
          <w:rFonts w:ascii="宋体" w:hAnsi="宋体"/>
          <w:b/>
          <w:bCs/>
          <w:sz w:val="52"/>
          <w:szCs w:val="52"/>
          <w:u w:val="none" w:color="auto"/>
        </w:rPr>
      </w:pPr>
      <w:bookmarkStart w:id="0" w:name="_Toc17587"/>
      <w:r>
        <w:rPr>
          <w:rFonts w:hint="eastAsia" w:ascii="宋体" w:hAnsi="宋体"/>
          <w:b/>
          <w:bCs/>
          <w:sz w:val="52"/>
          <w:szCs w:val="52"/>
          <w:u w:val="none" w:color="auto"/>
        </w:rPr>
        <w:t>公开文档</w:t>
      </w:r>
      <w:bookmarkEnd w:id="0"/>
    </w:p>
    <w:p w14:paraId="77533002">
      <w:pPr>
        <w:overflowPunct w:val="0"/>
        <w:topLinePunct/>
        <w:spacing w:line="360" w:lineRule="auto"/>
        <w:jc w:val="center"/>
        <w:rPr>
          <w:rFonts w:ascii="宋体" w:hAnsi="宋体"/>
          <w:b/>
          <w:bCs/>
          <w:sz w:val="52"/>
          <w:szCs w:val="52"/>
          <w:u w:val="none" w:color="auto"/>
        </w:rPr>
      </w:pPr>
    </w:p>
    <w:p w14:paraId="31E2B19C">
      <w:pPr>
        <w:overflowPunct w:val="0"/>
        <w:topLinePunct/>
        <w:spacing w:line="360" w:lineRule="auto"/>
        <w:jc w:val="center"/>
        <w:rPr>
          <w:rFonts w:ascii="宋体" w:hAnsi="宋体"/>
          <w:b/>
          <w:bCs/>
          <w:sz w:val="52"/>
          <w:szCs w:val="52"/>
          <w:u w:val="none" w:color="auto"/>
        </w:rPr>
      </w:pPr>
    </w:p>
    <w:p w14:paraId="1E08D71C">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部门名称：鄂尔多斯市总工会（部门）</w:t>
      </w:r>
    </w:p>
    <w:p w14:paraId="06478331">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单位负责人：赵飞录</w:t>
      </w:r>
    </w:p>
    <w:p w14:paraId="1C52F959">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财务负责人：李海鱼</w:t>
      </w:r>
    </w:p>
    <w:p w14:paraId="76515E58">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编制人：段媛</w:t>
      </w:r>
    </w:p>
    <w:p w14:paraId="4E40D04C">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报送日期：</w:t>
      </w:r>
      <w:r>
        <w:rPr>
          <w:rFonts w:ascii="宋体" w:hAnsi="宋体"/>
          <w:sz w:val="32"/>
          <w:szCs w:val="32"/>
          <w:u w:val="none" w:color="auto"/>
        </w:rPr>
        <w:t>2024</w:t>
      </w:r>
      <w:r>
        <w:rPr>
          <w:rFonts w:hint="eastAsia" w:ascii="宋体" w:hAnsi="宋体"/>
          <w:sz w:val="32"/>
          <w:szCs w:val="32"/>
          <w:u w:val="none" w:color="auto"/>
        </w:rPr>
        <w:t>年9月</w:t>
      </w:r>
    </w:p>
    <w:p w14:paraId="783E59AD">
      <w:pPr>
        <w:overflowPunct w:val="0"/>
        <w:topLinePunct/>
        <w:ind w:firstLine="2198" w:firstLineChars="700"/>
        <w:rPr>
          <w:rFonts w:ascii="仿宋" w:hAnsi="仿宋" w:eastAsia="仿宋"/>
          <w:b/>
          <w:sz w:val="32"/>
          <w:szCs w:val="32"/>
          <w:u w:val="none" w:color="auto"/>
        </w:rPr>
        <w:sectPr>
          <w:footerReference r:id="rId3" w:type="default"/>
          <w:pgSz w:w="11906" w:h="16838"/>
          <w:pgMar w:top="1962" w:right="1474" w:bottom="1848" w:left="1587" w:header="0" w:footer="1049" w:gutter="0"/>
          <w:cols w:space="425" w:num="1"/>
          <w:docGrid w:type="linesAndChars" w:linePitch="592" w:charSpace="1229"/>
        </w:sectPr>
      </w:pPr>
    </w:p>
    <w:p w14:paraId="5AFADF22">
      <w:pPr>
        <w:widowControl/>
        <w:overflowPunct w:val="0"/>
        <w:topLinePunct/>
        <w:spacing w:after="240"/>
        <w:jc w:val="center"/>
        <w:rPr>
          <w:rFonts w:ascii="Times New Roman" w:hAnsi="Times New Roman" w:eastAsia="Times New Roman" w:cs="Times New Roman"/>
          <w:kern w:val="0"/>
          <w:sz w:val="24"/>
          <w:u w:val="none" w:color="auto"/>
        </w:rPr>
      </w:pPr>
      <w:bookmarkStart w:id="1" w:name="a000"/>
      <w:r>
        <w:rPr>
          <w:rFonts w:ascii="fang_song_gb2312" w:hAnsi="fang_song_gb2312" w:eastAsia="fang_song_gb2312" w:cs="fang_song_gb2312"/>
          <w:b/>
          <w:bCs/>
          <w:kern w:val="0"/>
          <w:sz w:val="54"/>
          <w:szCs w:val="54"/>
          <w:u w:val="none" w:color="auto"/>
        </w:rPr>
        <w:t>目 录</w:t>
      </w:r>
    </w:p>
    <w:sdt>
      <w:sdtPr>
        <w:rPr>
          <w:rFonts w:ascii="宋体" w:hAnsi="宋体" w:eastAsia="宋体" w:cs="Times New Roman"/>
          <w:spacing w:val="-6"/>
          <w:kern w:val="2"/>
          <w:sz w:val="21"/>
          <w:szCs w:val="32"/>
          <w:u w:val="none" w:color="auto"/>
          <w:lang w:val="en-US" w:eastAsia="zh-CN" w:bidi="ar-SA"/>
        </w:rPr>
        <w:id w:val="147462227"/>
        <w15:color w:val="DBDBDB"/>
        <w:docPartObj>
          <w:docPartGallery w:val="Table of Contents"/>
          <w:docPartUnique/>
        </w:docPartObj>
      </w:sdtPr>
      <w:sdtEndPr>
        <w:rPr>
          <w:rFonts w:ascii="宋体" w:hAnsi="宋体" w:eastAsia="宋体" w:cs="Times New Roman"/>
          <w:b/>
          <w:spacing w:val="-6"/>
          <w:kern w:val="2"/>
          <w:sz w:val="21"/>
          <w:szCs w:val="32"/>
          <w:u w:val="none" w:color="auto"/>
          <w:lang w:val="en-US" w:eastAsia="zh-CN" w:bidi="ar-SA"/>
        </w:rPr>
      </w:sdtEndPr>
      <w:sdtContent>
        <w:p w14:paraId="1D3480A3">
          <w:pPr>
            <w:overflowPunct w:val="0"/>
            <w:topLinePunct/>
            <w:spacing w:before="0" w:beforeLines="0" w:after="0" w:afterLines="0" w:line="240" w:lineRule="auto"/>
            <w:ind w:left="0" w:leftChars="0" w:right="0" w:rightChars="0" w:firstLine="0" w:firstLineChars="0"/>
            <w:jc w:val="center"/>
            <w:rPr>
              <w:u w:val="none" w:color="auto"/>
            </w:rPr>
          </w:pPr>
        </w:p>
        <w:p w14:paraId="579E1E58">
          <w:pPr>
            <w:pStyle w:val="32"/>
            <w:tabs>
              <w:tab w:val="right" w:leader="dot" w:pos="8845"/>
            </w:tabs>
            <w:overflowPunct w:val="0"/>
            <w:topLinePunct/>
            <w:rPr>
              <w:b/>
              <w:u w:val="none" w:color="auto"/>
            </w:rPr>
          </w:pPr>
          <w:r>
            <w:rPr>
              <w:u w:val="none" w:color="auto"/>
            </w:rPr>
            <w:fldChar w:fldCharType="begin"/>
          </w:r>
          <w:r>
            <w:rPr>
              <w:u w:val="none" w:color="auto"/>
            </w:rPr>
            <w:instrText xml:space="preserve">TOC \o "1-2" \h \u </w:instrText>
          </w:r>
          <w:r>
            <w:rPr>
              <w:u w:val="none" w:color="auto"/>
            </w:rPr>
            <w:fldChar w:fldCharType="separate"/>
          </w:r>
          <w:r>
            <w:rPr>
              <w:b/>
              <w:u w:val="none" w:color="auto"/>
            </w:rPr>
            <w:fldChar w:fldCharType="begin"/>
          </w:r>
          <w:r>
            <w:rPr>
              <w:b/>
              <w:u w:val="none" w:color="auto"/>
            </w:rPr>
            <w:instrText xml:space="preserve"> HYPERLINK \l _Toc7887 </w:instrText>
          </w:r>
          <w:r>
            <w:rPr>
              <w:b/>
              <w:u w:val="none" w:color="auto"/>
            </w:rPr>
            <w:fldChar w:fldCharType="separate"/>
          </w:r>
          <w:r>
            <w:rPr>
              <w:rFonts w:hint="eastAsia" w:ascii="方正小标宋_GBK" w:hAnsi="方正小标宋_GBK" w:eastAsia="方正小标宋_GBK" w:cs="方正小标宋_GBK"/>
              <w:b/>
              <w:bCs/>
              <w:kern w:val="0"/>
              <w:szCs w:val="36"/>
              <w:u w:val="none" w:color="auto"/>
              <w:lang w:bidi="ar"/>
            </w:rPr>
            <w:t>第一部分 单位概况</w:t>
          </w:r>
          <w:r>
            <w:rPr>
              <w:b/>
              <w:u w:val="none" w:color="auto"/>
            </w:rPr>
            <w:tab/>
          </w:r>
          <w:r>
            <w:rPr>
              <w:b/>
              <w:u w:val="none" w:color="auto"/>
            </w:rPr>
            <w:fldChar w:fldCharType="begin"/>
          </w:r>
          <w:r>
            <w:rPr>
              <w:b/>
              <w:u w:val="none" w:color="auto"/>
            </w:rPr>
            <w:instrText xml:space="preserve"> PAGEREF _Toc7887 \h </w:instrText>
          </w:r>
          <w:r>
            <w:rPr>
              <w:b/>
              <w:u w:val="none" w:color="auto"/>
            </w:rPr>
            <w:fldChar w:fldCharType="separate"/>
          </w:r>
          <w:r>
            <w:rPr>
              <w:b/>
              <w:u w:val="none" w:color="auto"/>
            </w:rPr>
            <w:t>4</w:t>
          </w:r>
          <w:r>
            <w:rPr>
              <w:b/>
              <w:u w:val="none" w:color="auto"/>
            </w:rPr>
            <w:fldChar w:fldCharType="end"/>
          </w:r>
          <w:r>
            <w:rPr>
              <w:b/>
              <w:u w:val="none" w:color="auto"/>
            </w:rPr>
            <w:fldChar w:fldCharType="end"/>
          </w:r>
        </w:p>
        <w:p w14:paraId="09B78428">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_Toc22446 </w:instrText>
          </w:r>
          <w:r>
            <w:rPr>
              <w:u w:val="none" w:color="auto"/>
            </w:rPr>
            <w:fldChar w:fldCharType="separate"/>
          </w:r>
          <w:r>
            <w:rPr>
              <w:rFonts w:hint="eastAsia" w:ascii="黑体" w:hAnsi="宋体" w:eastAsia="黑体" w:cs="黑体"/>
              <w:bCs/>
              <w:kern w:val="0"/>
              <w:szCs w:val="32"/>
              <w:u w:val="none" w:color="auto"/>
              <w:lang w:bidi="ar"/>
            </w:rPr>
            <w:t>一、主要职能、职责</w:t>
          </w:r>
          <w:r>
            <w:rPr>
              <w:u w:val="none" w:color="auto"/>
            </w:rPr>
            <w:tab/>
          </w:r>
          <w:r>
            <w:rPr>
              <w:u w:val="none" w:color="auto"/>
            </w:rPr>
            <w:fldChar w:fldCharType="begin"/>
          </w:r>
          <w:r>
            <w:rPr>
              <w:u w:val="none" w:color="auto"/>
            </w:rPr>
            <w:instrText xml:space="preserve"> PAGEREF _Toc22446 \h </w:instrText>
          </w:r>
          <w:r>
            <w:rPr>
              <w:u w:val="none" w:color="auto"/>
            </w:rPr>
            <w:fldChar w:fldCharType="separate"/>
          </w:r>
          <w:r>
            <w:rPr>
              <w:u w:val="none" w:color="auto"/>
            </w:rPr>
            <w:t>4</w:t>
          </w:r>
          <w:r>
            <w:rPr>
              <w:u w:val="none" w:color="auto"/>
            </w:rPr>
            <w:fldChar w:fldCharType="end"/>
          </w:r>
          <w:r>
            <w:rPr>
              <w:u w:val="none" w:color="auto"/>
            </w:rPr>
            <w:fldChar w:fldCharType="end"/>
          </w:r>
        </w:p>
        <w:p w14:paraId="7AF5C3CF">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_Toc4716 </w:instrText>
          </w:r>
          <w:r>
            <w:rPr>
              <w:u w:val="none" w:color="auto"/>
            </w:rPr>
            <w:fldChar w:fldCharType="separate"/>
          </w:r>
          <w:r>
            <w:rPr>
              <w:rFonts w:hint="eastAsia" w:ascii="黑体" w:hAnsi="宋体" w:eastAsia="黑体" w:cs="黑体"/>
              <w:bCs/>
              <w:kern w:val="0"/>
              <w:szCs w:val="32"/>
              <w:u w:val="none" w:color="auto"/>
              <w:lang w:bidi="ar"/>
            </w:rPr>
            <w:t>二、单位机构设置及决算单位构成情况</w:t>
          </w:r>
          <w:r>
            <w:rPr>
              <w:u w:val="none" w:color="auto"/>
            </w:rPr>
            <w:tab/>
          </w:r>
          <w:r>
            <w:rPr>
              <w:u w:val="none" w:color="auto"/>
            </w:rPr>
            <w:fldChar w:fldCharType="begin"/>
          </w:r>
          <w:r>
            <w:rPr>
              <w:u w:val="none" w:color="auto"/>
            </w:rPr>
            <w:instrText xml:space="preserve"> PAGEREF _Toc4716 \h </w:instrText>
          </w:r>
          <w:r>
            <w:rPr>
              <w:u w:val="none" w:color="auto"/>
            </w:rPr>
            <w:fldChar w:fldCharType="separate"/>
          </w:r>
          <w:r>
            <w:rPr>
              <w:u w:val="none" w:color="auto"/>
            </w:rPr>
            <w:t>6</w:t>
          </w:r>
          <w:r>
            <w:rPr>
              <w:u w:val="none" w:color="auto"/>
            </w:rPr>
            <w:fldChar w:fldCharType="end"/>
          </w:r>
          <w:r>
            <w:rPr>
              <w:u w:val="none" w:color="auto"/>
            </w:rPr>
            <w:fldChar w:fldCharType="end"/>
          </w:r>
        </w:p>
        <w:p w14:paraId="0F67A48B">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_Toc16723 </w:instrText>
          </w:r>
          <w:r>
            <w:rPr>
              <w:u w:val="none" w:color="auto"/>
            </w:rPr>
            <w:fldChar w:fldCharType="separate"/>
          </w:r>
          <w:r>
            <w:rPr>
              <w:rFonts w:hint="eastAsia" w:ascii="黑体" w:hAnsi="宋体" w:eastAsia="黑体" w:cs="黑体"/>
              <w:bCs/>
              <w:kern w:val="0"/>
              <w:szCs w:val="32"/>
              <w:u w:val="none" w:color="auto"/>
              <w:lang w:bidi="ar"/>
            </w:rPr>
            <w:t>三、2023年度部门（单位）主要工作完成情况</w:t>
          </w:r>
          <w:r>
            <w:rPr>
              <w:u w:val="none" w:color="auto"/>
            </w:rPr>
            <w:tab/>
          </w:r>
          <w:r>
            <w:rPr>
              <w:u w:val="none" w:color="auto"/>
            </w:rPr>
            <w:fldChar w:fldCharType="begin"/>
          </w:r>
          <w:r>
            <w:rPr>
              <w:u w:val="none" w:color="auto"/>
            </w:rPr>
            <w:instrText xml:space="preserve"> PAGEREF _Toc16723 \h </w:instrText>
          </w:r>
          <w:r>
            <w:rPr>
              <w:u w:val="none" w:color="auto"/>
            </w:rPr>
            <w:fldChar w:fldCharType="separate"/>
          </w:r>
          <w:r>
            <w:rPr>
              <w:u w:val="none" w:color="auto"/>
            </w:rPr>
            <w:t>6</w:t>
          </w:r>
          <w:r>
            <w:rPr>
              <w:u w:val="none" w:color="auto"/>
            </w:rPr>
            <w:fldChar w:fldCharType="end"/>
          </w:r>
          <w:r>
            <w:rPr>
              <w:u w:val="none" w:color="auto"/>
            </w:rPr>
            <w:fldChar w:fldCharType="end"/>
          </w:r>
        </w:p>
        <w:p w14:paraId="58471EAA">
          <w:pPr>
            <w:pStyle w:val="32"/>
            <w:tabs>
              <w:tab w:val="right" w:leader="dot" w:pos="8845"/>
            </w:tabs>
            <w:overflowPunct w:val="0"/>
            <w:topLinePunct/>
            <w:rPr>
              <w:b/>
              <w:u w:val="none" w:color="auto"/>
            </w:rPr>
          </w:pPr>
          <w:r>
            <w:rPr>
              <w:b/>
              <w:u w:val="none" w:color="auto"/>
            </w:rPr>
            <w:fldChar w:fldCharType="begin"/>
          </w:r>
          <w:r>
            <w:rPr>
              <w:b/>
              <w:u w:val="none" w:color="auto"/>
            </w:rPr>
            <w:instrText xml:space="preserve"> HYPERLINK \l _Toc10664 </w:instrText>
          </w:r>
          <w:r>
            <w:rPr>
              <w:b/>
              <w:u w:val="none" w:color="auto"/>
            </w:rPr>
            <w:fldChar w:fldCharType="separate"/>
          </w:r>
          <w:r>
            <w:rPr>
              <w:rFonts w:hint="eastAsia" w:ascii="方正小标宋_GBK" w:hAnsi="方正小标宋_GBK" w:eastAsia="方正小标宋_GBK" w:cs="方正小标宋_GBK"/>
              <w:b/>
              <w:bCs/>
              <w:kern w:val="0"/>
              <w:szCs w:val="36"/>
              <w:u w:val="none" w:color="auto"/>
              <w:lang w:bidi="ar"/>
            </w:rPr>
            <w:t>第二部分</w:t>
          </w:r>
          <w:r>
            <w:rPr>
              <w:rFonts w:hint="eastAsia" w:ascii="方正小标宋_GBK" w:hAnsi="方正小标宋_GBK" w:eastAsia="方正小标宋_GBK" w:cs="方正小标宋_GBK"/>
              <w:b/>
              <w:bCs/>
              <w:kern w:val="0"/>
              <w:szCs w:val="36"/>
              <w:u w:val="none" w:color="auto"/>
              <w:lang w:val="en-US" w:eastAsia="zh-CN" w:bidi="ar"/>
            </w:rPr>
            <w:t xml:space="preserve"> </w:t>
          </w:r>
          <w:r>
            <w:rPr>
              <w:rFonts w:hint="eastAsia" w:ascii="方正小标宋_GBK" w:hAnsi="方正小标宋_GBK" w:eastAsia="方正小标宋_GBK" w:cs="方正小标宋_GBK"/>
              <w:b/>
              <w:bCs/>
              <w:kern w:val="0"/>
              <w:szCs w:val="36"/>
              <w:u w:val="none" w:color="auto"/>
              <w:lang w:bidi="ar"/>
            </w:rPr>
            <w:t>单位决算情况说明</w:t>
          </w:r>
          <w:r>
            <w:rPr>
              <w:b/>
              <w:u w:val="none" w:color="auto"/>
            </w:rPr>
            <w:tab/>
          </w:r>
          <w:r>
            <w:rPr>
              <w:b/>
              <w:u w:val="none" w:color="auto"/>
            </w:rPr>
            <w:fldChar w:fldCharType="begin"/>
          </w:r>
          <w:r>
            <w:rPr>
              <w:b/>
              <w:u w:val="none" w:color="auto"/>
            </w:rPr>
            <w:instrText xml:space="preserve"> PAGEREF _Toc10664 \h </w:instrText>
          </w:r>
          <w:r>
            <w:rPr>
              <w:b/>
              <w:u w:val="none" w:color="auto"/>
            </w:rPr>
            <w:fldChar w:fldCharType="separate"/>
          </w:r>
          <w:r>
            <w:rPr>
              <w:b/>
              <w:u w:val="none" w:color="auto"/>
            </w:rPr>
            <w:t>16</w:t>
          </w:r>
          <w:r>
            <w:rPr>
              <w:b/>
              <w:u w:val="none" w:color="auto"/>
            </w:rPr>
            <w:fldChar w:fldCharType="end"/>
          </w:r>
          <w:r>
            <w:rPr>
              <w:b/>
              <w:u w:val="none" w:color="auto"/>
            </w:rPr>
            <w:fldChar w:fldCharType="end"/>
          </w:r>
        </w:p>
        <w:p w14:paraId="687AE012">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_Toc6713 </w:instrText>
          </w:r>
          <w:r>
            <w:rPr>
              <w:u w:val="none" w:color="auto"/>
            </w:rPr>
            <w:fldChar w:fldCharType="separate"/>
          </w:r>
          <w:r>
            <w:rPr>
              <w:rFonts w:hint="eastAsia" w:ascii="黑体" w:hAnsi="宋体" w:eastAsia="黑体" w:cs="黑体"/>
              <w:bCs/>
              <w:kern w:val="0"/>
              <w:szCs w:val="32"/>
              <w:u w:val="none" w:color="auto"/>
              <w:lang w:bidi="ar"/>
            </w:rPr>
            <w:t>一、收入支出决算总体情况说明</w:t>
          </w:r>
          <w:r>
            <w:rPr>
              <w:u w:val="none" w:color="auto"/>
            </w:rPr>
            <w:tab/>
          </w:r>
          <w:r>
            <w:rPr>
              <w:u w:val="none" w:color="auto"/>
            </w:rPr>
            <w:fldChar w:fldCharType="begin"/>
          </w:r>
          <w:r>
            <w:rPr>
              <w:u w:val="none" w:color="auto"/>
            </w:rPr>
            <w:instrText xml:space="preserve"> PAGEREF _Toc6713 \h </w:instrText>
          </w:r>
          <w:r>
            <w:rPr>
              <w:u w:val="none" w:color="auto"/>
            </w:rPr>
            <w:fldChar w:fldCharType="separate"/>
          </w:r>
          <w:r>
            <w:rPr>
              <w:u w:val="none" w:color="auto"/>
            </w:rPr>
            <w:t>16</w:t>
          </w:r>
          <w:r>
            <w:rPr>
              <w:u w:val="none" w:color="auto"/>
            </w:rPr>
            <w:fldChar w:fldCharType="end"/>
          </w:r>
          <w:r>
            <w:rPr>
              <w:u w:val="none" w:color="auto"/>
            </w:rPr>
            <w:fldChar w:fldCharType="end"/>
          </w:r>
        </w:p>
        <w:p w14:paraId="101E0563">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_Toc29125 </w:instrText>
          </w:r>
          <w:r>
            <w:rPr>
              <w:u w:val="none" w:color="auto"/>
            </w:rPr>
            <w:fldChar w:fldCharType="separate"/>
          </w:r>
          <w:r>
            <w:rPr>
              <w:rFonts w:hint="eastAsia" w:ascii="黑体" w:hAnsi="宋体" w:eastAsia="黑体" w:cs="黑体"/>
              <w:bCs/>
              <w:kern w:val="0"/>
              <w:szCs w:val="32"/>
              <w:u w:val="none" w:color="auto"/>
              <w:lang w:bidi="ar"/>
            </w:rPr>
            <w:t>二、收入决算情况说明</w:t>
          </w:r>
          <w:r>
            <w:rPr>
              <w:u w:val="none" w:color="auto"/>
            </w:rPr>
            <w:tab/>
          </w:r>
          <w:r>
            <w:rPr>
              <w:u w:val="none" w:color="auto"/>
            </w:rPr>
            <w:fldChar w:fldCharType="begin"/>
          </w:r>
          <w:r>
            <w:rPr>
              <w:u w:val="none" w:color="auto"/>
            </w:rPr>
            <w:instrText xml:space="preserve"> PAGEREF _Toc29125 \h </w:instrText>
          </w:r>
          <w:r>
            <w:rPr>
              <w:u w:val="none" w:color="auto"/>
            </w:rPr>
            <w:fldChar w:fldCharType="separate"/>
          </w:r>
          <w:r>
            <w:rPr>
              <w:u w:val="none" w:color="auto"/>
            </w:rPr>
            <w:t>17</w:t>
          </w:r>
          <w:r>
            <w:rPr>
              <w:u w:val="none" w:color="auto"/>
            </w:rPr>
            <w:fldChar w:fldCharType="end"/>
          </w:r>
          <w:r>
            <w:rPr>
              <w:u w:val="none" w:color="auto"/>
            </w:rPr>
            <w:fldChar w:fldCharType="end"/>
          </w:r>
        </w:p>
        <w:p w14:paraId="2F1BC2E8">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_Toc15769 </w:instrText>
          </w:r>
          <w:r>
            <w:rPr>
              <w:u w:val="none" w:color="auto"/>
            </w:rPr>
            <w:fldChar w:fldCharType="separate"/>
          </w:r>
          <w:r>
            <w:rPr>
              <w:rFonts w:ascii="黑体" w:hAnsi="黑体" w:eastAsia="黑体" w:cs="黑体"/>
              <w:bCs/>
              <w:kern w:val="0"/>
              <w:szCs w:val="32"/>
              <w:u w:val="none" w:color="auto"/>
            </w:rPr>
            <w:t>三、支出决算情况说明</w:t>
          </w:r>
          <w:r>
            <w:rPr>
              <w:u w:val="none" w:color="auto"/>
            </w:rPr>
            <w:tab/>
          </w:r>
          <w:r>
            <w:rPr>
              <w:u w:val="none" w:color="auto"/>
            </w:rPr>
            <w:fldChar w:fldCharType="begin"/>
          </w:r>
          <w:r>
            <w:rPr>
              <w:u w:val="none" w:color="auto"/>
            </w:rPr>
            <w:instrText xml:space="preserve"> PAGEREF _Toc15769 \h </w:instrText>
          </w:r>
          <w:r>
            <w:rPr>
              <w:u w:val="none" w:color="auto"/>
            </w:rPr>
            <w:fldChar w:fldCharType="separate"/>
          </w:r>
          <w:r>
            <w:rPr>
              <w:u w:val="none" w:color="auto"/>
            </w:rPr>
            <w:t>18</w:t>
          </w:r>
          <w:r>
            <w:rPr>
              <w:u w:val="none" w:color="auto"/>
            </w:rPr>
            <w:fldChar w:fldCharType="end"/>
          </w:r>
          <w:r>
            <w:rPr>
              <w:u w:val="none" w:color="auto"/>
            </w:rPr>
            <w:fldChar w:fldCharType="end"/>
          </w:r>
        </w:p>
        <w:p w14:paraId="2E19E050">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_Toc14377 </w:instrText>
          </w:r>
          <w:r>
            <w:rPr>
              <w:u w:val="none" w:color="auto"/>
            </w:rPr>
            <w:fldChar w:fldCharType="separate"/>
          </w:r>
          <w:r>
            <w:rPr>
              <w:rFonts w:ascii="黑体" w:hAnsi="黑体" w:eastAsia="黑体" w:cs="黑体"/>
              <w:bCs/>
              <w:kern w:val="0"/>
              <w:szCs w:val="32"/>
              <w:u w:val="none" w:color="auto"/>
            </w:rPr>
            <w:t>四、财政拨款收入支出决算总体情况说明</w:t>
          </w:r>
          <w:r>
            <w:rPr>
              <w:u w:val="none" w:color="auto"/>
            </w:rPr>
            <w:tab/>
          </w:r>
          <w:r>
            <w:rPr>
              <w:u w:val="none" w:color="auto"/>
            </w:rPr>
            <w:fldChar w:fldCharType="begin"/>
          </w:r>
          <w:r>
            <w:rPr>
              <w:u w:val="none" w:color="auto"/>
            </w:rPr>
            <w:instrText xml:space="preserve"> PAGEREF _Toc14377 \h </w:instrText>
          </w:r>
          <w:r>
            <w:rPr>
              <w:u w:val="none" w:color="auto"/>
            </w:rPr>
            <w:fldChar w:fldCharType="separate"/>
          </w:r>
          <w:r>
            <w:rPr>
              <w:u w:val="none" w:color="auto"/>
            </w:rPr>
            <w:t>19</w:t>
          </w:r>
          <w:r>
            <w:rPr>
              <w:u w:val="none" w:color="auto"/>
            </w:rPr>
            <w:fldChar w:fldCharType="end"/>
          </w:r>
          <w:r>
            <w:rPr>
              <w:u w:val="none" w:color="auto"/>
            </w:rPr>
            <w:fldChar w:fldCharType="end"/>
          </w:r>
        </w:p>
        <w:p w14:paraId="121D0D51">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_Toc28163 </w:instrText>
          </w:r>
          <w:r>
            <w:rPr>
              <w:u w:val="none" w:color="auto"/>
            </w:rPr>
            <w:fldChar w:fldCharType="separate"/>
          </w:r>
          <w:r>
            <w:rPr>
              <w:rFonts w:ascii="黑体" w:hAnsi="黑体" w:eastAsia="黑体" w:cs="黑体"/>
              <w:bCs/>
              <w:kern w:val="0"/>
              <w:szCs w:val="32"/>
              <w:u w:val="none" w:color="auto"/>
            </w:rPr>
            <w:t>五、一般公共预算财政拨款支出决算情况说明</w:t>
          </w:r>
          <w:r>
            <w:rPr>
              <w:u w:val="none" w:color="auto"/>
            </w:rPr>
            <w:tab/>
          </w:r>
          <w:r>
            <w:rPr>
              <w:u w:val="none" w:color="auto"/>
            </w:rPr>
            <w:fldChar w:fldCharType="begin"/>
          </w:r>
          <w:r>
            <w:rPr>
              <w:u w:val="none" w:color="auto"/>
            </w:rPr>
            <w:instrText xml:space="preserve"> PAGEREF _Toc28163 \h </w:instrText>
          </w:r>
          <w:r>
            <w:rPr>
              <w:u w:val="none" w:color="auto"/>
            </w:rPr>
            <w:fldChar w:fldCharType="separate"/>
          </w:r>
          <w:r>
            <w:rPr>
              <w:u w:val="none" w:color="auto"/>
            </w:rPr>
            <w:t>20</w:t>
          </w:r>
          <w:r>
            <w:rPr>
              <w:u w:val="none" w:color="auto"/>
            </w:rPr>
            <w:fldChar w:fldCharType="end"/>
          </w:r>
          <w:r>
            <w:rPr>
              <w:u w:val="none" w:color="auto"/>
            </w:rPr>
            <w:fldChar w:fldCharType="end"/>
          </w:r>
        </w:p>
        <w:p w14:paraId="15A1BBE2">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_Toc23747 </w:instrText>
          </w:r>
          <w:r>
            <w:rPr>
              <w:u w:val="none" w:color="auto"/>
            </w:rPr>
            <w:fldChar w:fldCharType="separate"/>
          </w:r>
          <w:r>
            <w:rPr>
              <w:rFonts w:ascii="黑体" w:hAnsi="黑体" w:eastAsia="黑体" w:cs="黑体"/>
              <w:bCs/>
              <w:kern w:val="0"/>
              <w:szCs w:val="27"/>
              <w:u w:val="none" w:color="auto"/>
            </w:rPr>
            <w:t>六、一般公共预算财政拨款基本支出决算情况说明</w:t>
          </w:r>
          <w:r>
            <w:rPr>
              <w:u w:val="none" w:color="auto"/>
            </w:rPr>
            <w:tab/>
          </w:r>
          <w:r>
            <w:rPr>
              <w:u w:val="none" w:color="auto"/>
            </w:rPr>
            <w:fldChar w:fldCharType="begin"/>
          </w:r>
          <w:r>
            <w:rPr>
              <w:u w:val="none" w:color="auto"/>
            </w:rPr>
            <w:instrText xml:space="preserve"> PAGEREF _Toc23747 \h </w:instrText>
          </w:r>
          <w:r>
            <w:rPr>
              <w:u w:val="none" w:color="auto"/>
            </w:rPr>
            <w:fldChar w:fldCharType="separate"/>
          </w:r>
          <w:r>
            <w:rPr>
              <w:u w:val="none" w:color="auto"/>
            </w:rPr>
            <w:t>23</w:t>
          </w:r>
          <w:r>
            <w:rPr>
              <w:u w:val="none" w:color="auto"/>
            </w:rPr>
            <w:fldChar w:fldCharType="end"/>
          </w:r>
          <w:r>
            <w:rPr>
              <w:u w:val="none" w:color="auto"/>
            </w:rPr>
            <w:fldChar w:fldCharType="end"/>
          </w:r>
        </w:p>
        <w:p w14:paraId="31733BE1">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_Toc7370 </w:instrText>
          </w:r>
          <w:r>
            <w:rPr>
              <w:u w:val="none" w:color="auto"/>
            </w:rPr>
            <w:fldChar w:fldCharType="separate"/>
          </w:r>
          <w:r>
            <w:rPr>
              <w:rFonts w:ascii="黑体" w:hAnsi="黑体" w:eastAsia="黑体" w:cs="黑体"/>
              <w:bCs/>
              <w:kern w:val="0"/>
              <w:szCs w:val="27"/>
              <w:u w:val="none" w:color="auto"/>
            </w:rPr>
            <w:t>七、一般公共预算财政拨款项目支出决算情况说明</w:t>
          </w:r>
          <w:r>
            <w:rPr>
              <w:u w:val="none" w:color="auto"/>
            </w:rPr>
            <w:tab/>
          </w:r>
          <w:r>
            <w:rPr>
              <w:u w:val="none" w:color="auto"/>
            </w:rPr>
            <w:fldChar w:fldCharType="begin"/>
          </w:r>
          <w:r>
            <w:rPr>
              <w:u w:val="none" w:color="auto"/>
            </w:rPr>
            <w:instrText xml:space="preserve"> PAGEREF _Toc7370 \h </w:instrText>
          </w:r>
          <w:r>
            <w:rPr>
              <w:u w:val="none" w:color="auto"/>
            </w:rPr>
            <w:fldChar w:fldCharType="separate"/>
          </w:r>
          <w:r>
            <w:rPr>
              <w:u w:val="none" w:color="auto"/>
            </w:rPr>
            <w:t>23</w:t>
          </w:r>
          <w:r>
            <w:rPr>
              <w:u w:val="none" w:color="auto"/>
            </w:rPr>
            <w:fldChar w:fldCharType="end"/>
          </w:r>
          <w:r>
            <w:rPr>
              <w:u w:val="none" w:color="auto"/>
            </w:rPr>
            <w:fldChar w:fldCharType="end"/>
          </w:r>
        </w:p>
        <w:p w14:paraId="132DE4ED">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_Toc16464 </w:instrText>
          </w:r>
          <w:r>
            <w:rPr>
              <w:u w:val="none" w:color="auto"/>
            </w:rPr>
            <w:fldChar w:fldCharType="separate"/>
          </w:r>
          <w:r>
            <w:rPr>
              <w:rFonts w:ascii="黑体" w:hAnsi="黑体" w:eastAsia="黑体" w:cs="黑体"/>
              <w:bCs/>
              <w:kern w:val="0"/>
              <w:szCs w:val="27"/>
              <w:u w:val="none" w:color="auto"/>
            </w:rPr>
            <w:t>八、财政拨款“三公”经费支出决算情况说明</w:t>
          </w:r>
          <w:r>
            <w:rPr>
              <w:u w:val="none" w:color="auto"/>
            </w:rPr>
            <w:tab/>
          </w:r>
          <w:r>
            <w:rPr>
              <w:u w:val="none" w:color="auto"/>
            </w:rPr>
            <w:fldChar w:fldCharType="begin"/>
          </w:r>
          <w:r>
            <w:rPr>
              <w:u w:val="none" w:color="auto"/>
            </w:rPr>
            <w:instrText xml:space="preserve"> PAGEREF _Toc16464 \h </w:instrText>
          </w:r>
          <w:r>
            <w:rPr>
              <w:u w:val="none" w:color="auto"/>
            </w:rPr>
            <w:fldChar w:fldCharType="separate"/>
          </w:r>
          <w:r>
            <w:rPr>
              <w:u w:val="none" w:color="auto"/>
            </w:rPr>
            <w:t>24</w:t>
          </w:r>
          <w:r>
            <w:rPr>
              <w:u w:val="none" w:color="auto"/>
            </w:rPr>
            <w:fldChar w:fldCharType="end"/>
          </w:r>
          <w:r>
            <w:rPr>
              <w:u w:val="none" w:color="auto"/>
            </w:rPr>
            <w:fldChar w:fldCharType="end"/>
          </w:r>
        </w:p>
        <w:p w14:paraId="157E172E">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_Toc20894 </w:instrText>
          </w:r>
          <w:r>
            <w:rPr>
              <w:u w:val="none" w:color="auto"/>
            </w:rPr>
            <w:fldChar w:fldCharType="separate"/>
          </w:r>
          <w:r>
            <w:rPr>
              <w:rFonts w:ascii="黑体" w:hAnsi="黑体" w:eastAsia="黑体" w:cs="黑体"/>
              <w:bCs/>
              <w:kern w:val="0"/>
              <w:szCs w:val="27"/>
              <w:u w:val="none" w:color="auto"/>
            </w:rPr>
            <w:t>九、政府性基金预算财政拨款支出决算情况说明</w:t>
          </w:r>
          <w:r>
            <w:rPr>
              <w:u w:val="none" w:color="auto"/>
            </w:rPr>
            <w:tab/>
          </w:r>
          <w:r>
            <w:rPr>
              <w:u w:val="none" w:color="auto"/>
            </w:rPr>
            <w:fldChar w:fldCharType="begin"/>
          </w:r>
          <w:r>
            <w:rPr>
              <w:u w:val="none" w:color="auto"/>
            </w:rPr>
            <w:instrText xml:space="preserve"> PAGEREF _Toc20894 \h </w:instrText>
          </w:r>
          <w:r>
            <w:rPr>
              <w:u w:val="none" w:color="auto"/>
            </w:rPr>
            <w:fldChar w:fldCharType="separate"/>
          </w:r>
          <w:r>
            <w:rPr>
              <w:u w:val="none" w:color="auto"/>
            </w:rPr>
            <w:t>26</w:t>
          </w:r>
          <w:r>
            <w:rPr>
              <w:u w:val="none" w:color="auto"/>
            </w:rPr>
            <w:fldChar w:fldCharType="end"/>
          </w:r>
          <w:r>
            <w:rPr>
              <w:u w:val="none" w:color="auto"/>
            </w:rPr>
            <w:fldChar w:fldCharType="end"/>
          </w:r>
        </w:p>
        <w:p w14:paraId="1F87E0A0">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_Toc30206 </w:instrText>
          </w:r>
          <w:r>
            <w:rPr>
              <w:u w:val="none" w:color="auto"/>
            </w:rPr>
            <w:fldChar w:fldCharType="separate"/>
          </w:r>
          <w:r>
            <w:rPr>
              <w:rFonts w:ascii="黑体" w:hAnsi="黑体" w:eastAsia="黑体" w:cs="黑体"/>
              <w:bCs/>
              <w:kern w:val="0"/>
              <w:szCs w:val="27"/>
              <w:u w:val="none" w:color="auto"/>
            </w:rPr>
            <w:t>十、国有资本经营预算财政拨款支出决算情况说明</w:t>
          </w:r>
          <w:r>
            <w:rPr>
              <w:u w:val="none" w:color="auto"/>
            </w:rPr>
            <w:tab/>
          </w:r>
          <w:r>
            <w:rPr>
              <w:u w:val="none" w:color="auto"/>
            </w:rPr>
            <w:fldChar w:fldCharType="begin"/>
          </w:r>
          <w:r>
            <w:rPr>
              <w:u w:val="none" w:color="auto"/>
            </w:rPr>
            <w:instrText xml:space="preserve"> PAGEREF _Toc30206 \h </w:instrText>
          </w:r>
          <w:r>
            <w:rPr>
              <w:u w:val="none" w:color="auto"/>
            </w:rPr>
            <w:fldChar w:fldCharType="separate"/>
          </w:r>
          <w:r>
            <w:rPr>
              <w:u w:val="none" w:color="auto"/>
            </w:rPr>
            <w:t>26</w:t>
          </w:r>
          <w:r>
            <w:rPr>
              <w:u w:val="none" w:color="auto"/>
            </w:rPr>
            <w:fldChar w:fldCharType="end"/>
          </w:r>
          <w:r>
            <w:rPr>
              <w:u w:val="none" w:color="auto"/>
            </w:rPr>
            <w:fldChar w:fldCharType="end"/>
          </w:r>
        </w:p>
        <w:p w14:paraId="5BA83A02">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_Toc23604 </w:instrText>
          </w:r>
          <w:r>
            <w:rPr>
              <w:u w:val="none" w:color="auto"/>
            </w:rPr>
            <w:fldChar w:fldCharType="separate"/>
          </w:r>
          <w:r>
            <w:rPr>
              <w:rFonts w:ascii="黑体" w:hAnsi="黑体" w:eastAsia="黑体" w:cs="黑体"/>
              <w:bCs/>
              <w:kern w:val="0"/>
              <w:szCs w:val="27"/>
              <w:u w:val="none" w:color="auto"/>
            </w:rPr>
            <w:t>十一、机构运行经费支出决算情况说明</w:t>
          </w:r>
          <w:r>
            <w:rPr>
              <w:u w:val="none" w:color="auto"/>
            </w:rPr>
            <w:tab/>
          </w:r>
          <w:r>
            <w:rPr>
              <w:u w:val="none" w:color="auto"/>
            </w:rPr>
            <w:fldChar w:fldCharType="begin"/>
          </w:r>
          <w:r>
            <w:rPr>
              <w:u w:val="none" w:color="auto"/>
            </w:rPr>
            <w:instrText xml:space="preserve"> PAGEREF _Toc23604 \h </w:instrText>
          </w:r>
          <w:r>
            <w:rPr>
              <w:u w:val="none" w:color="auto"/>
            </w:rPr>
            <w:fldChar w:fldCharType="separate"/>
          </w:r>
          <w:r>
            <w:rPr>
              <w:u w:val="none" w:color="auto"/>
            </w:rPr>
            <w:t>26</w:t>
          </w:r>
          <w:r>
            <w:rPr>
              <w:u w:val="none" w:color="auto"/>
            </w:rPr>
            <w:fldChar w:fldCharType="end"/>
          </w:r>
          <w:r>
            <w:rPr>
              <w:u w:val="none" w:color="auto"/>
            </w:rPr>
            <w:fldChar w:fldCharType="end"/>
          </w:r>
        </w:p>
        <w:p w14:paraId="6A848CE9">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_Toc23300 </w:instrText>
          </w:r>
          <w:r>
            <w:rPr>
              <w:u w:val="none" w:color="auto"/>
            </w:rPr>
            <w:fldChar w:fldCharType="separate"/>
          </w:r>
          <w:r>
            <w:rPr>
              <w:rFonts w:ascii="黑体" w:hAnsi="黑体" w:eastAsia="黑体" w:cs="黑体"/>
              <w:bCs/>
              <w:kern w:val="0"/>
              <w:szCs w:val="27"/>
              <w:u w:val="none" w:color="auto"/>
            </w:rPr>
            <w:t>十二、政府采购支出决算情况说明</w:t>
          </w:r>
          <w:r>
            <w:rPr>
              <w:u w:val="none" w:color="auto"/>
            </w:rPr>
            <w:tab/>
          </w:r>
          <w:r>
            <w:rPr>
              <w:u w:val="none" w:color="auto"/>
            </w:rPr>
            <w:fldChar w:fldCharType="begin"/>
          </w:r>
          <w:r>
            <w:rPr>
              <w:u w:val="none" w:color="auto"/>
            </w:rPr>
            <w:instrText xml:space="preserve"> PAGEREF _Toc23300 \h </w:instrText>
          </w:r>
          <w:r>
            <w:rPr>
              <w:u w:val="none" w:color="auto"/>
            </w:rPr>
            <w:fldChar w:fldCharType="separate"/>
          </w:r>
          <w:r>
            <w:rPr>
              <w:u w:val="none" w:color="auto"/>
            </w:rPr>
            <w:t>27</w:t>
          </w:r>
          <w:r>
            <w:rPr>
              <w:u w:val="none" w:color="auto"/>
            </w:rPr>
            <w:fldChar w:fldCharType="end"/>
          </w:r>
          <w:r>
            <w:rPr>
              <w:u w:val="none" w:color="auto"/>
            </w:rPr>
            <w:fldChar w:fldCharType="end"/>
          </w:r>
        </w:p>
        <w:p w14:paraId="78575079">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_Toc2025 </w:instrText>
          </w:r>
          <w:r>
            <w:rPr>
              <w:u w:val="none" w:color="auto"/>
            </w:rPr>
            <w:fldChar w:fldCharType="separate"/>
          </w:r>
          <w:r>
            <w:rPr>
              <w:rFonts w:ascii="黑体" w:hAnsi="黑体" w:eastAsia="黑体" w:cs="黑体"/>
              <w:bCs/>
              <w:kern w:val="0"/>
              <w:szCs w:val="27"/>
              <w:u w:val="none" w:color="auto"/>
            </w:rPr>
            <w:t>十三、国有资产占用情况说明</w:t>
          </w:r>
          <w:r>
            <w:rPr>
              <w:u w:val="none" w:color="auto"/>
            </w:rPr>
            <w:tab/>
          </w:r>
          <w:r>
            <w:rPr>
              <w:u w:val="none" w:color="auto"/>
            </w:rPr>
            <w:fldChar w:fldCharType="begin"/>
          </w:r>
          <w:r>
            <w:rPr>
              <w:u w:val="none" w:color="auto"/>
            </w:rPr>
            <w:instrText xml:space="preserve"> PAGEREF _Toc2025 \h </w:instrText>
          </w:r>
          <w:r>
            <w:rPr>
              <w:u w:val="none" w:color="auto"/>
            </w:rPr>
            <w:fldChar w:fldCharType="separate"/>
          </w:r>
          <w:r>
            <w:rPr>
              <w:u w:val="none" w:color="auto"/>
            </w:rPr>
            <w:t>27</w:t>
          </w:r>
          <w:r>
            <w:rPr>
              <w:u w:val="none" w:color="auto"/>
            </w:rPr>
            <w:fldChar w:fldCharType="end"/>
          </w:r>
          <w:r>
            <w:rPr>
              <w:u w:val="none" w:color="auto"/>
            </w:rPr>
            <w:fldChar w:fldCharType="end"/>
          </w:r>
        </w:p>
        <w:p w14:paraId="28B608C9">
          <w:pPr>
            <w:pStyle w:val="33"/>
            <w:tabs>
              <w:tab w:val="right" w:leader="dot" w:pos="8845"/>
            </w:tabs>
            <w:overflowPunct w:val="0"/>
            <w:topLinePunct/>
            <w:rPr>
              <w:u w:val="none" w:color="auto"/>
            </w:rPr>
          </w:pPr>
          <w:r>
            <w:rPr>
              <w:u w:val="none" w:color="auto"/>
            </w:rPr>
            <w:fldChar w:fldCharType="begin"/>
          </w:r>
          <w:r>
            <w:rPr>
              <w:u w:val="none" w:color="auto"/>
            </w:rPr>
            <w:instrText xml:space="preserve"> HYPERLINK \l _Toc3115 </w:instrText>
          </w:r>
          <w:r>
            <w:rPr>
              <w:u w:val="none" w:color="auto"/>
            </w:rPr>
            <w:fldChar w:fldCharType="separate"/>
          </w:r>
          <w:r>
            <w:rPr>
              <w:rFonts w:ascii="黑体" w:hAnsi="黑体" w:eastAsia="黑体" w:cs="黑体"/>
              <w:bCs/>
              <w:kern w:val="0"/>
              <w:szCs w:val="27"/>
              <w:u w:val="none" w:color="auto"/>
            </w:rPr>
            <w:t>十四、预算绩效情况说明</w:t>
          </w:r>
          <w:r>
            <w:rPr>
              <w:u w:val="none" w:color="auto"/>
            </w:rPr>
            <w:tab/>
          </w:r>
          <w:r>
            <w:rPr>
              <w:u w:val="none" w:color="auto"/>
            </w:rPr>
            <w:fldChar w:fldCharType="begin"/>
          </w:r>
          <w:r>
            <w:rPr>
              <w:u w:val="none" w:color="auto"/>
            </w:rPr>
            <w:instrText xml:space="preserve"> PAGEREF _Toc3115 \h </w:instrText>
          </w:r>
          <w:r>
            <w:rPr>
              <w:u w:val="none" w:color="auto"/>
            </w:rPr>
            <w:fldChar w:fldCharType="separate"/>
          </w:r>
          <w:r>
            <w:rPr>
              <w:u w:val="none" w:color="auto"/>
            </w:rPr>
            <w:t>27</w:t>
          </w:r>
          <w:r>
            <w:rPr>
              <w:u w:val="none" w:color="auto"/>
            </w:rPr>
            <w:fldChar w:fldCharType="end"/>
          </w:r>
          <w:r>
            <w:rPr>
              <w:u w:val="none" w:color="auto"/>
            </w:rPr>
            <w:fldChar w:fldCharType="end"/>
          </w:r>
        </w:p>
        <w:p w14:paraId="74009C25">
          <w:pPr>
            <w:pStyle w:val="32"/>
            <w:tabs>
              <w:tab w:val="right" w:leader="dot" w:pos="8845"/>
            </w:tabs>
            <w:overflowPunct w:val="0"/>
            <w:topLinePunct/>
            <w:rPr>
              <w:b/>
              <w:u w:val="none" w:color="auto"/>
            </w:rPr>
          </w:pPr>
          <w:r>
            <w:rPr>
              <w:b/>
              <w:u w:val="none" w:color="auto"/>
            </w:rPr>
            <w:fldChar w:fldCharType="begin"/>
          </w:r>
          <w:r>
            <w:rPr>
              <w:b/>
              <w:u w:val="none" w:color="auto"/>
            </w:rPr>
            <w:instrText xml:space="preserve"> HYPERLINK \l _Toc2498 </w:instrText>
          </w:r>
          <w:r>
            <w:rPr>
              <w:b/>
              <w:u w:val="none" w:color="auto"/>
            </w:rPr>
            <w:fldChar w:fldCharType="separate"/>
          </w:r>
          <w:r>
            <w:rPr>
              <w:rFonts w:hint="eastAsia" w:ascii="方正大标宋简体" w:hAnsi="方正大标宋简体" w:eastAsia="方正大标宋简体" w:cs="方正大标宋简体"/>
              <w:b/>
              <w:kern w:val="0"/>
              <w:szCs w:val="36"/>
              <w:u w:val="none" w:color="auto"/>
            </w:rPr>
            <w:t>第三部分 名词解释</w:t>
          </w:r>
          <w:r>
            <w:rPr>
              <w:b/>
              <w:u w:val="none" w:color="auto"/>
            </w:rPr>
            <w:tab/>
          </w:r>
          <w:r>
            <w:rPr>
              <w:b/>
              <w:u w:val="none" w:color="auto"/>
            </w:rPr>
            <w:fldChar w:fldCharType="begin"/>
          </w:r>
          <w:r>
            <w:rPr>
              <w:b/>
              <w:u w:val="none" w:color="auto"/>
            </w:rPr>
            <w:instrText xml:space="preserve"> PAGEREF _Toc2498 \h </w:instrText>
          </w:r>
          <w:r>
            <w:rPr>
              <w:b/>
              <w:u w:val="none" w:color="auto"/>
            </w:rPr>
            <w:fldChar w:fldCharType="separate"/>
          </w:r>
          <w:r>
            <w:rPr>
              <w:b/>
              <w:u w:val="none" w:color="auto"/>
            </w:rPr>
            <w:t>42</w:t>
          </w:r>
          <w:r>
            <w:rPr>
              <w:b/>
              <w:u w:val="none" w:color="auto"/>
            </w:rPr>
            <w:fldChar w:fldCharType="end"/>
          </w:r>
          <w:r>
            <w:rPr>
              <w:b/>
              <w:u w:val="none" w:color="auto"/>
            </w:rPr>
            <w:fldChar w:fldCharType="end"/>
          </w:r>
        </w:p>
        <w:p w14:paraId="0986C7A5">
          <w:pPr>
            <w:pStyle w:val="32"/>
            <w:tabs>
              <w:tab w:val="right" w:leader="dot" w:pos="8845"/>
            </w:tabs>
            <w:overflowPunct w:val="0"/>
            <w:topLinePunct/>
            <w:rPr>
              <w:b/>
              <w:u w:val="none" w:color="auto"/>
            </w:rPr>
          </w:pPr>
          <w:r>
            <w:rPr>
              <w:b/>
              <w:u w:val="none" w:color="auto"/>
            </w:rPr>
            <w:fldChar w:fldCharType="begin"/>
          </w:r>
          <w:r>
            <w:rPr>
              <w:b/>
              <w:u w:val="none" w:color="auto"/>
            </w:rPr>
            <w:instrText xml:space="preserve"> HYPERLINK \l _Toc12374 </w:instrText>
          </w:r>
          <w:r>
            <w:rPr>
              <w:b/>
              <w:u w:val="none" w:color="auto"/>
            </w:rPr>
            <w:fldChar w:fldCharType="separate"/>
          </w:r>
          <w:r>
            <w:rPr>
              <w:rFonts w:hint="eastAsia" w:ascii="方正小标宋_GBK" w:hAnsi="方正小标宋_GBK" w:eastAsia="方正小标宋_GBK" w:cs="方正小标宋_GBK"/>
              <w:b/>
              <w:kern w:val="0"/>
              <w:szCs w:val="44"/>
              <w:u w:val="none" w:color="auto"/>
            </w:rPr>
            <w:t>第四部分 决算公开联系方式及信息反馈渠道</w:t>
          </w:r>
          <w:r>
            <w:rPr>
              <w:b/>
              <w:u w:val="none" w:color="auto"/>
            </w:rPr>
            <w:tab/>
          </w:r>
          <w:r>
            <w:rPr>
              <w:b/>
              <w:u w:val="none" w:color="auto"/>
            </w:rPr>
            <w:fldChar w:fldCharType="begin"/>
          </w:r>
          <w:r>
            <w:rPr>
              <w:b/>
              <w:u w:val="none" w:color="auto"/>
            </w:rPr>
            <w:instrText xml:space="preserve"> PAGEREF _Toc12374 \h </w:instrText>
          </w:r>
          <w:r>
            <w:rPr>
              <w:b/>
              <w:u w:val="none" w:color="auto"/>
            </w:rPr>
            <w:fldChar w:fldCharType="separate"/>
          </w:r>
          <w:r>
            <w:rPr>
              <w:b/>
              <w:u w:val="none" w:color="auto"/>
            </w:rPr>
            <w:t>45</w:t>
          </w:r>
          <w:r>
            <w:rPr>
              <w:b/>
              <w:u w:val="none" w:color="auto"/>
            </w:rPr>
            <w:fldChar w:fldCharType="end"/>
          </w:r>
          <w:r>
            <w:rPr>
              <w:b/>
              <w:u w:val="none" w:color="auto"/>
            </w:rPr>
            <w:fldChar w:fldCharType="end"/>
          </w:r>
        </w:p>
        <w:p w14:paraId="7BB7D635">
          <w:pPr>
            <w:pStyle w:val="32"/>
            <w:tabs>
              <w:tab w:val="right" w:leader="dot" w:pos="8845"/>
            </w:tabs>
            <w:overflowPunct w:val="0"/>
            <w:topLinePunct/>
            <w:rPr>
              <w:b/>
              <w:u w:val="none" w:color="auto"/>
            </w:rPr>
          </w:pPr>
          <w:r>
            <w:rPr>
              <w:b/>
              <w:u w:val="none" w:color="auto"/>
            </w:rPr>
            <w:fldChar w:fldCharType="begin"/>
          </w:r>
          <w:r>
            <w:rPr>
              <w:b/>
              <w:u w:val="none" w:color="auto"/>
            </w:rPr>
            <w:instrText xml:space="preserve"> HYPERLINK \l _Toc25407 </w:instrText>
          </w:r>
          <w:r>
            <w:rPr>
              <w:b/>
              <w:u w:val="none" w:color="auto"/>
            </w:rPr>
            <w:fldChar w:fldCharType="separate"/>
          </w:r>
          <w:r>
            <w:rPr>
              <w:rFonts w:hint="eastAsia" w:ascii="方正小标宋_GBK" w:hAnsi="方正小标宋_GBK" w:eastAsia="方正小标宋_GBK" w:cs="方正小标宋_GBK"/>
              <w:b/>
              <w:bCs/>
              <w:kern w:val="0"/>
              <w:szCs w:val="44"/>
              <w:u w:val="none" w:color="auto"/>
            </w:rPr>
            <w:t>第五部分 部门（单位）决算表</w:t>
          </w:r>
          <w:r>
            <w:rPr>
              <w:b/>
              <w:u w:val="none" w:color="auto"/>
            </w:rPr>
            <w:tab/>
          </w:r>
          <w:r>
            <w:rPr>
              <w:b/>
              <w:u w:val="none" w:color="auto"/>
            </w:rPr>
            <w:fldChar w:fldCharType="begin"/>
          </w:r>
          <w:r>
            <w:rPr>
              <w:b/>
              <w:u w:val="none" w:color="auto"/>
            </w:rPr>
            <w:instrText xml:space="preserve"> PAGEREF _Toc25407 \h </w:instrText>
          </w:r>
          <w:r>
            <w:rPr>
              <w:b/>
              <w:u w:val="none" w:color="auto"/>
            </w:rPr>
            <w:fldChar w:fldCharType="separate"/>
          </w:r>
          <w:r>
            <w:rPr>
              <w:b/>
              <w:u w:val="none" w:color="auto"/>
            </w:rPr>
            <w:t>45</w:t>
          </w:r>
          <w:r>
            <w:rPr>
              <w:b/>
              <w:u w:val="none" w:color="auto"/>
            </w:rPr>
            <w:fldChar w:fldCharType="end"/>
          </w:r>
          <w:r>
            <w:rPr>
              <w:b/>
              <w:u w:val="none" w:color="auto"/>
            </w:rPr>
            <w:fldChar w:fldCharType="end"/>
          </w:r>
        </w:p>
        <w:p w14:paraId="55156C3B">
          <w:pPr>
            <w:overflowPunct w:val="0"/>
            <w:topLinePunct/>
            <w:rPr>
              <w:b/>
              <w:u w:val="none" w:color="auto"/>
            </w:rPr>
          </w:pPr>
          <w:r>
            <w:rPr>
              <w:b/>
              <w:u w:val="none" w:color="auto"/>
            </w:rPr>
            <w:fldChar w:fldCharType="end"/>
          </w:r>
        </w:p>
        <w:p w14:paraId="7033A77B">
          <w:pPr>
            <w:overflowPunct w:val="0"/>
            <w:topLinePunct/>
            <w:rPr>
              <w:b/>
              <w:u w:val="none" w:color="auto"/>
            </w:rPr>
          </w:pPr>
          <w:r>
            <w:rPr>
              <w:b/>
              <w:u w:val="none" w:color="auto"/>
            </w:rPr>
            <w:br w:type="page"/>
          </w:r>
        </w:p>
      </w:sdtContent>
    </w:sdt>
    <w:p w14:paraId="088E3684">
      <w:pPr>
        <w:pStyle w:val="3"/>
        <w:keepNext/>
        <w:keepLines w:val="0"/>
        <w:widowControl/>
        <w:suppressLineNumbers w:val="0"/>
        <w:overflowPunct w:val="0"/>
        <w:topLinePunct/>
        <w:spacing w:before="0" w:beforeAutospacing="1" w:after="0" w:afterAutospacing="1" w:line="600" w:lineRule="atLeast"/>
        <w:ind w:left="0" w:right="0"/>
        <w:jc w:val="center"/>
        <w:outlineLvl w:val="0"/>
        <w:rPr>
          <w:rFonts w:hint="eastAsia" w:ascii="方正小标宋_GBK" w:hAnsi="方正小标宋_GBK" w:eastAsia="方正小标宋_GBK" w:cs="方正小标宋_GBK"/>
          <w:b/>
          <w:bCs/>
          <w:kern w:val="0"/>
          <w:sz w:val="36"/>
          <w:szCs w:val="36"/>
          <w:u w:val="none" w:color="auto"/>
          <w:lang w:bidi="ar"/>
        </w:rPr>
      </w:pPr>
      <w:bookmarkStart w:id="2" w:name="_Toc7887"/>
      <w:r>
        <w:rPr>
          <w:rFonts w:hint="eastAsia" w:ascii="方正小标宋_GBK" w:hAnsi="方正小标宋_GBK" w:eastAsia="方正小标宋_GBK" w:cs="方正小标宋_GBK"/>
          <w:b/>
          <w:bCs/>
          <w:kern w:val="0"/>
          <w:sz w:val="36"/>
          <w:szCs w:val="36"/>
          <w:u w:val="none" w:color="auto"/>
          <w:lang w:bidi="ar"/>
        </w:rPr>
        <w:t xml:space="preserve">第一部分 </w:t>
      </w:r>
      <w:r>
        <w:rPr>
          <w:rFonts w:hint="eastAsia" w:ascii="方正小标宋_GBK" w:hAnsi="方正小标宋_GBK" w:eastAsia="方正小标宋_GBK" w:cs="方正小标宋_GBK"/>
          <w:b/>
          <w:bCs/>
          <w:kern w:val="0"/>
          <w:sz w:val="36"/>
          <w:szCs w:val="36"/>
          <w:u w:val="none" w:color="auto"/>
          <w:lang w:eastAsia="zh-CN" w:bidi="ar"/>
        </w:rPr>
        <w:t>部门</w:t>
      </w:r>
      <w:r>
        <w:rPr>
          <w:rFonts w:hint="eastAsia" w:ascii="方正小标宋_GBK" w:hAnsi="方正小标宋_GBK" w:eastAsia="方正小标宋_GBK" w:cs="方正小标宋_GBK"/>
          <w:b/>
          <w:bCs/>
          <w:kern w:val="0"/>
          <w:sz w:val="36"/>
          <w:szCs w:val="36"/>
          <w:u w:val="none" w:color="auto"/>
          <w:lang w:bidi="ar"/>
        </w:rPr>
        <w:t>概况</w:t>
      </w:r>
      <w:bookmarkEnd w:id="2"/>
    </w:p>
    <w:p w14:paraId="63C05591">
      <w:pPr>
        <w:keepNext w:val="0"/>
        <w:keepLines w:val="0"/>
        <w:widowControl/>
        <w:suppressLineNumbers w:val="0"/>
        <w:overflowPunct w:val="0"/>
        <w:topLinePunct/>
        <w:spacing w:before="0" w:beforeAutospacing="1" w:after="0" w:afterAutospacing="1" w:line="600" w:lineRule="atLeast"/>
        <w:ind w:right="0"/>
        <w:jc w:val="both"/>
        <w:outlineLvl w:val="1"/>
        <w:rPr>
          <w:rFonts w:hint="eastAsia" w:ascii="黑体" w:hAnsi="宋体" w:eastAsia="黑体" w:cs="黑体"/>
          <w:b/>
          <w:bCs/>
          <w:kern w:val="0"/>
          <w:sz w:val="32"/>
          <w:szCs w:val="32"/>
          <w:u w:val="none" w:color="auto"/>
          <w:lang w:bidi="ar"/>
        </w:rPr>
      </w:pPr>
      <w:r>
        <w:rPr>
          <w:rFonts w:hint="eastAsia" w:ascii="黑体" w:hAnsi="宋体" w:eastAsia="黑体" w:cs="黑体"/>
          <w:b/>
          <w:bCs/>
          <w:kern w:val="0"/>
          <w:sz w:val="32"/>
          <w:szCs w:val="32"/>
          <w:u w:val="none" w:color="auto"/>
          <w:lang w:bidi="ar"/>
        </w:rPr>
        <w:t xml:space="preserve"> </w:t>
      </w:r>
      <w:bookmarkStart w:id="3" w:name="_Toc22446"/>
      <w:r>
        <w:rPr>
          <w:rFonts w:hint="eastAsia" w:ascii="黑体" w:hAnsi="宋体" w:eastAsia="黑体" w:cs="黑体"/>
          <w:b/>
          <w:bCs/>
          <w:kern w:val="0"/>
          <w:sz w:val="32"/>
          <w:szCs w:val="32"/>
          <w:u w:val="none" w:color="auto"/>
          <w:lang w:bidi="ar"/>
        </w:rPr>
        <w:t>一、主要职能、职责</w:t>
      </w:r>
      <w:bookmarkEnd w:id="3"/>
    </w:p>
    <w:p w14:paraId="7DCD1E7F">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中国工会是中国共产党领导的职工自愿结合的工人阶级群众组织，是党联系职工群众的桥梁和纽带，是国家政权的重要社会支柱，是会员和职工权益的代表。鄂尔多斯市总工会是全市工会组织的领导机关。其主要职责是：  </w:t>
      </w:r>
    </w:p>
    <w:p w14:paraId="68C85CCD">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（一）根据的党的基本理论、基本路线、基本纲领和工运方针，围绕市委政府工作大局，贯彻执上级工会确定的方针、任务。  </w:t>
      </w:r>
    </w:p>
    <w:p w14:paraId="67B86552">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（二）依照法律和《中国工会章程》，组织和指导各级工会坚定不移地贯彻落实党的全心全意依靠工人阶级的根本指导方针，进一步突出和履行维护职能。  </w:t>
      </w:r>
    </w:p>
    <w:p w14:paraId="758B60B4">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三）对有关职工合法权益的重大问题进行调查研究，向市委政府和上级工会反映职工群众的思想、愿望和要求，提出意见和建议；参与全市涉及职工切身利益的政策、措施、制度的拟定；参与职工重大伤亡事故的调查处理。  </w:t>
      </w:r>
    </w:p>
    <w:p w14:paraId="1EBC8BE0">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四）监督检查《中国工会章程》的贯彻执行；指导工会自身改革和建设；指导各级工会组织开展以职工代表大会为基本制度的民主选举、民主决策、民主管理和民主监督工作，推动建立平等协商、集体合同制度和监督保证机制的工作。  </w:t>
      </w:r>
    </w:p>
    <w:p w14:paraId="51E7D3AD">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（五）协助各旗区委管理各旗区总工会领导干部。监督、检查全市工会党员干部党风廉政建设情况；负责全市工会干部的培训工作。  </w:t>
      </w:r>
    </w:p>
    <w:p w14:paraId="69A7DEF3">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（六）协助做好全国劳模，全国“五一”劳动奖章、奖状；自治区劳模，自治区“五一”劳动奖章、奖状的推荐、评选和管理工作。负责全市劳模，全市“五一”劳动奖章、奖状的评选表彰和管理工作。  </w:t>
      </w:r>
    </w:p>
    <w:p w14:paraId="6FB5725A">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（七）负责工会经费和工会资产的管理、审查、审计工作。  </w:t>
      </w:r>
    </w:p>
    <w:p w14:paraId="257F1705">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（八）承担市委、市政府和上级工会交办的其他事项。</w:t>
      </w:r>
    </w:p>
    <w:p w14:paraId="371DD0FD">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（九）鄂尔多斯市总工会职工服务中心为市总工会所属</w:t>
      </w:r>
      <w:r>
        <w:rPr>
          <w:rFonts w:hint="eastAsia" w:ascii="仿宋" w:hAnsi="仿宋" w:eastAsia="仿宋" w:cs="仿宋"/>
          <w:kern w:val="0"/>
          <w:sz w:val="32"/>
          <w:szCs w:val="32"/>
          <w:u w:val="none" w:color="auto"/>
          <w:lang w:val="en-US" w:eastAsia="zh-CN"/>
        </w:rPr>
        <w:t>的</w:t>
      </w:r>
      <w:r>
        <w:rPr>
          <w:rFonts w:hint="eastAsia" w:ascii="仿宋" w:hAnsi="仿宋" w:eastAsia="仿宋" w:cs="仿宋"/>
          <w:kern w:val="0"/>
          <w:sz w:val="32"/>
          <w:szCs w:val="32"/>
          <w:u w:val="none" w:color="auto"/>
        </w:rPr>
        <w:t>正科级公益</w:t>
      </w:r>
      <w:r>
        <w:rPr>
          <w:rFonts w:hint="eastAsia" w:ascii="仿宋" w:hAnsi="仿宋" w:eastAsia="仿宋" w:cs="仿宋"/>
          <w:kern w:val="0"/>
          <w:sz w:val="32"/>
          <w:szCs w:val="32"/>
          <w:u w:val="none" w:color="auto"/>
          <w:lang w:val="en-US" w:eastAsia="zh-CN"/>
        </w:rPr>
        <w:t>一</w:t>
      </w:r>
      <w:r>
        <w:rPr>
          <w:rFonts w:hint="eastAsia" w:ascii="仿宋" w:hAnsi="仿宋" w:eastAsia="仿宋" w:cs="仿宋"/>
          <w:kern w:val="0"/>
          <w:sz w:val="32"/>
          <w:szCs w:val="32"/>
          <w:u w:val="none" w:color="auto"/>
        </w:rPr>
        <w:t>类事业单位。主要职能及职责：为全市困难职工提供生活医疗助学救助服务，同时承担职业介绍，职业技能培训的组织工作，及在职职工医疗互助保障行动窗口服务工作。 鄂尔多斯市总工会职工服务中心直接面向全市职工群众和基层工会的服务窗口,是宣传党的路线方针政策，维护职工合法权益的重要阵地，为全市职工开展困难救助、法律援助、信访接待、就业服务、工会法人登记、心理疏导等各项服务。承担市总工会交办的其他相关工作。</w:t>
      </w:r>
    </w:p>
    <w:p w14:paraId="63FA0B58">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lang w:val="en-US" w:eastAsia="zh-CN"/>
        </w:rPr>
      </w:pPr>
      <w:r>
        <w:rPr>
          <w:rFonts w:hint="eastAsia" w:ascii="仿宋" w:hAnsi="仿宋" w:eastAsia="仿宋" w:cs="仿宋"/>
          <w:kern w:val="0"/>
          <w:sz w:val="32"/>
          <w:szCs w:val="32"/>
          <w:u w:val="none" w:color="auto"/>
        </w:rPr>
        <w:t>（十）鄂尔多斯市工人文化宫为市总工会所属</w:t>
      </w:r>
      <w:r>
        <w:rPr>
          <w:rFonts w:hint="eastAsia" w:ascii="仿宋" w:hAnsi="仿宋" w:eastAsia="仿宋" w:cs="仿宋"/>
          <w:kern w:val="0"/>
          <w:sz w:val="32"/>
          <w:szCs w:val="32"/>
          <w:u w:val="none" w:color="auto"/>
          <w:lang w:val="en-US" w:eastAsia="zh-CN"/>
        </w:rPr>
        <w:t>的</w:t>
      </w:r>
      <w:r>
        <w:rPr>
          <w:rFonts w:hint="eastAsia" w:ascii="仿宋" w:hAnsi="仿宋" w:eastAsia="仿宋" w:cs="仿宋"/>
          <w:kern w:val="0"/>
          <w:sz w:val="32"/>
          <w:szCs w:val="32"/>
          <w:u w:val="none" w:color="auto"/>
        </w:rPr>
        <w:t>正科级公益二类事业单位。主要承担职工素质提升培训、农牧民工职业技能提升培训、职工文艺创作培训的组织工作；组织开展文化产品下基层、文艺演出等各类文体活动；承担职工群众文化活动公益服务工作；承担市总工会交办的其他相关工作。</w:t>
      </w:r>
    </w:p>
    <w:p w14:paraId="6E06DF1D">
      <w:pPr>
        <w:keepNext w:val="0"/>
        <w:keepLines w:val="0"/>
        <w:widowControl/>
        <w:suppressLineNumbers w:val="0"/>
        <w:overflowPunct w:val="0"/>
        <w:topLinePunct/>
        <w:spacing w:before="0" w:beforeAutospacing="1" w:after="0" w:afterAutospacing="1" w:line="600" w:lineRule="atLeast"/>
        <w:ind w:right="0"/>
        <w:jc w:val="both"/>
        <w:outlineLvl w:val="1"/>
        <w:rPr>
          <w:rFonts w:hint="eastAsia" w:ascii="黑体" w:hAnsi="宋体" w:eastAsia="黑体" w:cs="黑体"/>
          <w:b/>
          <w:bCs/>
          <w:kern w:val="0"/>
          <w:sz w:val="32"/>
          <w:szCs w:val="32"/>
          <w:u w:val="none" w:color="auto"/>
          <w:lang w:bidi="ar"/>
        </w:rPr>
      </w:pPr>
      <w:r>
        <w:rPr>
          <w:rFonts w:hint="eastAsia" w:ascii="黑体" w:hAnsi="宋体" w:eastAsia="黑体" w:cs="黑体"/>
          <w:b/>
          <w:bCs/>
          <w:kern w:val="0"/>
          <w:sz w:val="32"/>
          <w:szCs w:val="32"/>
          <w:u w:val="none" w:color="auto"/>
          <w:lang w:bidi="ar"/>
        </w:rPr>
        <w:t xml:space="preserve"> </w:t>
      </w:r>
      <w:bookmarkStart w:id="4" w:name="_Toc4716"/>
      <w:r>
        <w:rPr>
          <w:rFonts w:hint="eastAsia" w:ascii="黑体" w:hAnsi="宋体" w:eastAsia="黑体" w:cs="黑体"/>
          <w:b/>
          <w:bCs/>
          <w:kern w:val="0"/>
          <w:sz w:val="32"/>
          <w:szCs w:val="32"/>
          <w:u w:val="none" w:color="auto"/>
          <w:lang w:bidi="ar"/>
        </w:rPr>
        <w:t>二、</w:t>
      </w:r>
      <w:r>
        <w:rPr>
          <w:rFonts w:hint="eastAsia" w:ascii="黑体" w:hAnsi="宋体" w:eastAsia="黑体" w:cs="黑体"/>
          <w:b/>
          <w:bCs/>
          <w:kern w:val="0"/>
          <w:sz w:val="32"/>
          <w:szCs w:val="32"/>
          <w:u w:val="none" w:color="auto"/>
          <w:lang w:eastAsia="zh-CN" w:bidi="ar"/>
        </w:rPr>
        <w:t>部门</w:t>
      </w:r>
      <w:r>
        <w:rPr>
          <w:rFonts w:hint="eastAsia" w:ascii="黑体" w:hAnsi="宋体" w:eastAsia="黑体" w:cs="黑体"/>
          <w:b/>
          <w:bCs/>
          <w:kern w:val="0"/>
          <w:sz w:val="32"/>
          <w:szCs w:val="32"/>
          <w:u w:val="none" w:color="auto"/>
          <w:lang w:bidi="ar"/>
        </w:rPr>
        <w:t>机构设置及决算</w:t>
      </w:r>
      <w:r>
        <w:rPr>
          <w:rFonts w:hint="eastAsia" w:ascii="黑体" w:hAnsi="宋体" w:eastAsia="黑体" w:cs="黑体"/>
          <w:b/>
          <w:bCs/>
          <w:kern w:val="0"/>
          <w:sz w:val="32"/>
          <w:szCs w:val="32"/>
          <w:u w:val="none" w:color="auto"/>
          <w:lang w:eastAsia="zh-CN" w:bidi="ar"/>
        </w:rPr>
        <w:t>部门</w:t>
      </w:r>
      <w:r>
        <w:rPr>
          <w:rFonts w:hint="eastAsia" w:ascii="黑体" w:hAnsi="宋体" w:eastAsia="黑体" w:cs="黑体"/>
          <w:b/>
          <w:bCs/>
          <w:kern w:val="0"/>
          <w:sz w:val="32"/>
          <w:szCs w:val="32"/>
          <w:u w:val="none" w:color="auto"/>
          <w:lang w:bidi="ar"/>
        </w:rPr>
        <w:t>构成情况</w:t>
      </w:r>
      <w:bookmarkEnd w:id="4"/>
    </w:p>
    <w:p w14:paraId="6D1A6E83">
      <w:pPr>
        <w:pStyle w:val="31"/>
        <w:keepNext w:val="0"/>
        <w:keepLines w:val="0"/>
        <w:widowControl/>
        <w:suppressLineNumbers w:val="0"/>
        <w:overflowPunct w:val="0"/>
        <w:topLinePunct/>
        <w:autoSpaceDE w:val="0"/>
        <w:autoSpaceDN/>
        <w:spacing w:before="0" w:beforeAutospacing="0" w:after="0" w:afterAutospacing="0" w:line="560" w:lineRule="atLeast"/>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lang w:val="en-US" w:eastAsia="zh-CN"/>
        </w:rPr>
        <w:t>1、</w:t>
      </w:r>
      <w:r>
        <w:rPr>
          <w:rFonts w:hint="eastAsia" w:ascii="仿宋" w:hAnsi="仿宋" w:eastAsia="仿宋" w:cs="仿宋"/>
          <w:kern w:val="0"/>
          <w:sz w:val="32"/>
          <w:szCs w:val="32"/>
          <w:u w:val="none" w:color="auto"/>
        </w:rPr>
        <w:t>根据单位职责分工，本单位内设机构包括办公室、组织基层部、宣传教育部、权益保障部、经济部、女职工部、财务和资产监督管理部、经费审查委员会办公室。本部门下属单位包括：鄂尔多斯市工人文化宫为公益二类事业单位，鄂尔多斯市总工会职工服务中心为公益一类事业单位。</w:t>
      </w:r>
    </w:p>
    <w:p w14:paraId="4CE26796">
      <w:pPr>
        <w:pStyle w:val="31"/>
        <w:keepNext w:val="0"/>
        <w:keepLines w:val="0"/>
        <w:widowControl/>
        <w:suppressLineNumbers w:val="0"/>
        <w:overflowPunct w:val="0"/>
        <w:topLinePunct/>
        <w:autoSpaceDE w:val="0"/>
        <w:autoSpaceDN/>
        <w:spacing w:before="0" w:beforeAutospacing="0" w:after="0" w:afterAutospacing="0" w:line="560" w:lineRule="atLeast"/>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lang w:val="en-US" w:eastAsia="zh-CN"/>
        </w:rPr>
        <w:t>2、</w:t>
      </w:r>
      <w:r>
        <w:rPr>
          <w:rFonts w:hint="eastAsia" w:ascii="仿宋" w:hAnsi="仿宋" w:eastAsia="仿宋" w:cs="仿宋"/>
          <w:kern w:val="0"/>
          <w:sz w:val="32"/>
          <w:szCs w:val="32"/>
          <w:u w:val="none" w:color="auto"/>
        </w:rPr>
        <w:t>从决算单位构成看，纳入本财政汇总决算编制范围的预算单位共计</w:t>
      </w:r>
      <w:r>
        <w:rPr>
          <w:rFonts w:hint="eastAsia" w:ascii="仿宋" w:hAnsi="仿宋" w:eastAsia="仿宋" w:cs="仿宋"/>
          <w:kern w:val="0"/>
          <w:sz w:val="32"/>
          <w:szCs w:val="32"/>
          <w:u w:val="none" w:color="auto"/>
          <w:lang w:val="en-US" w:eastAsia="zh-CN"/>
        </w:rPr>
        <w:t>3</w:t>
      </w:r>
      <w:r>
        <w:rPr>
          <w:rFonts w:hint="eastAsia" w:ascii="仿宋" w:hAnsi="仿宋" w:eastAsia="仿宋" w:cs="仿宋"/>
          <w:kern w:val="0"/>
          <w:sz w:val="32"/>
          <w:szCs w:val="32"/>
          <w:u w:val="none" w:color="auto"/>
        </w:rPr>
        <w:t xml:space="preserve">家，具体包括：鄂尔多斯市总工会部门本级、鄂尔多斯市工人文化宫、鄂尔多斯市总工会职工服务中心。详细情况见表： </w:t>
      </w:r>
    </w:p>
    <w:tbl>
      <w:tblPr>
        <w:tblStyle w:val="21"/>
        <w:tblW w:w="0" w:type="auto"/>
        <w:tblInd w:w="2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4984"/>
        <w:gridCol w:w="3083"/>
      </w:tblGrid>
      <w:tr w14:paraId="252C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966" w:type="dxa"/>
            <w:tcBorders>
              <w:top w:val="single" w:color="000000" w:sz="4" w:space="0"/>
              <w:left w:val="single" w:color="000000" w:sz="4" w:space="0"/>
              <w:bottom w:val="single" w:color="000000" w:sz="4" w:space="0"/>
              <w:right w:val="single" w:color="000000" w:sz="4" w:space="0"/>
            </w:tcBorders>
            <w:shd w:val="clear" w:color="auto" w:fill="auto"/>
            <w:vAlign w:val="top"/>
          </w:tcPr>
          <w:p w14:paraId="02F157C1">
            <w:pPr>
              <w:pStyle w:val="31"/>
              <w:keepNext w:val="0"/>
              <w:keepLines w:val="0"/>
              <w:widowControl/>
              <w:suppressLineNumbers w:val="0"/>
              <w:overflowPunct w:val="0"/>
              <w:topLinePunct/>
              <w:autoSpaceDE/>
              <w:autoSpaceDN w:val="0"/>
              <w:spacing w:before="0" w:beforeAutospacing="0" w:after="0" w:afterAutospacing="0"/>
              <w:jc w:val="center"/>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序号</w:t>
            </w:r>
          </w:p>
        </w:tc>
        <w:tc>
          <w:tcPr>
            <w:tcW w:w="4984" w:type="dxa"/>
            <w:tcBorders>
              <w:top w:val="single" w:color="000000" w:sz="4" w:space="0"/>
              <w:left w:val="nil"/>
              <w:bottom w:val="single" w:color="000000" w:sz="4" w:space="0"/>
              <w:right w:val="single" w:color="000000" w:sz="4" w:space="0"/>
            </w:tcBorders>
            <w:shd w:val="clear" w:color="auto" w:fill="auto"/>
            <w:vAlign w:val="center"/>
          </w:tcPr>
          <w:p w14:paraId="410CF21E">
            <w:pPr>
              <w:pStyle w:val="31"/>
              <w:keepNext w:val="0"/>
              <w:keepLines w:val="0"/>
              <w:widowControl/>
              <w:suppressLineNumbers w:val="0"/>
              <w:overflowPunct w:val="0"/>
              <w:topLinePunct/>
              <w:autoSpaceDE/>
              <w:autoSpaceDN w:val="0"/>
              <w:spacing w:before="0" w:beforeAutospacing="0" w:after="0" w:afterAutospacing="0"/>
              <w:jc w:val="center"/>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单位名称</w:t>
            </w:r>
          </w:p>
        </w:tc>
        <w:tc>
          <w:tcPr>
            <w:tcW w:w="3083" w:type="dxa"/>
            <w:tcBorders>
              <w:top w:val="single" w:color="000000" w:sz="4" w:space="0"/>
              <w:left w:val="nil"/>
              <w:bottom w:val="single" w:color="000000" w:sz="4" w:space="0"/>
              <w:right w:val="single" w:color="000000" w:sz="4" w:space="0"/>
            </w:tcBorders>
            <w:shd w:val="clear" w:color="auto" w:fill="auto"/>
            <w:vAlign w:val="center"/>
          </w:tcPr>
          <w:p w14:paraId="4797521C">
            <w:pPr>
              <w:pStyle w:val="31"/>
              <w:keepNext w:val="0"/>
              <w:keepLines w:val="0"/>
              <w:widowControl/>
              <w:suppressLineNumbers w:val="0"/>
              <w:overflowPunct w:val="0"/>
              <w:topLinePunct/>
              <w:autoSpaceDE/>
              <w:autoSpaceDN w:val="0"/>
              <w:spacing w:before="0" w:beforeAutospacing="0" w:after="0" w:afterAutospacing="0"/>
              <w:jc w:val="center"/>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单位性质</w:t>
            </w:r>
          </w:p>
        </w:tc>
      </w:tr>
      <w:tr w14:paraId="7B637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4790">
            <w:pPr>
              <w:pStyle w:val="31"/>
              <w:keepNext w:val="0"/>
              <w:keepLines w:val="0"/>
              <w:widowControl/>
              <w:suppressLineNumbers w:val="0"/>
              <w:overflowPunct w:val="0"/>
              <w:topLinePunct/>
              <w:autoSpaceDE/>
              <w:autoSpaceDN w:val="0"/>
              <w:spacing w:before="0" w:beforeAutospacing="0" w:after="0" w:afterAutospacing="0"/>
              <w:jc w:val="center"/>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1</w:t>
            </w:r>
          </w:p>
        </w:tc>
        <w:tc>
          <w:tcPr>
            <w:tcW w:w="4984" w:type="dxa"/>
            <w:tcBorders>
              <w:top w:val="single" w:color="000000" w:sz="4" w:space="0"/>
              <w:left w:val="nil"/>
              <w:bottom w:val="single" w:color="000000" w:sz="4" w:space="0"/>
              <w:right w:val="single" w:color="000000" w:sz="4" w:space="0"/>
            </w:tcBorders>
            <w:shd w:val="clear" w:color="auto" w:fill="auto"/>
            <w:vAlign w:val="top"/>
          </w:tcPr>
          <w:p w14:paraId="310E481F">
            <w:pPr>
              <w:pStyle w:val="31"/>
              <w:keepNext w:val="0"/>
              <w:keepLines w:val="0"/>
              <w:widowControl/>
              <w:suppressLineNumbers w:val="0"/>
              <w:overflowPunct w:val="0"/>
              <w:topLinePunct/>
              <w:autoSpaceDE/>
              <w:autoSpaceDN w:val="0"/>
              <w:spacing w:before="0" w:beforeAutospacing="0" w:after="0" w:afterAutospacing="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w:t>
            </w:r>
          </w:p>
        </w:tc>
        <w:tc>
          <w:tcPr>
            <w:tcW w:w="3083" w:type="dxa"/>
            <w:tcBorders>
              <w:top w:val="single" w:color="000000" w:sz="4" w:space="0"/>
              <w:left w:val="nil"/>
              <w:bottom w:val="single" w:color="000000" w:sz="4" w:space="0"/>
              <w:right w:val="single" w:color="000000" w:sz="4" w:space="0"/>
            </w:tcBorders>
            <w:shd w:val="clear" w:color="auto" w:fill="auto"/>
            <w:vAlign w:val="top"/>
          </w:tcPr>
          <w:p w14:paraId="5F3CADEF">
            <w:pPr>
              <w:pStyle w:val="31"/>
              <w:keepNext w:val="0"/>
              <w:keepLines w:val="0"/>
              <w:widowControl/>
              <w:suppressLineNumbers w:val="0"/>
              <w:overflowPunct w:val="0"/>
              <w:topLinePunct/>
              <w:autoSpaceDE/>
              <w:autoSpaceDN w:val="0"/>
              <w:spacing w:before="0" w:beforeAutospacing="0" w:after="0" w:afterAutospacing="0"/>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财政拨款的行政单位</w:t>
            </w:r>
          </w:p>
        </w:tc>
      </w:tr>
      <w:tr w14:paraId="48126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46F0">
            <w:pPr>
              <w:pStyle w:val="31"/>
              <w:keepNext w:val="0"/>
              <w:keepLines w:val="0"/>
              <w:widowControl/>
              <w:suppressLineNumbers w:val="0"/>
              <w:overflowPunct w:val="0"/>
              <w:topLinePunct/>
              <w:autoSpaceDE/>
              <w:autoSpaceDN w:val="0"/>
              <w:spacing w:before="0" w:beforeAutospacing="0" w:after="0" w:afterAutospacing="0"/>
              <w:jc w:val="center"/>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2</w:t>
            </w:r>
          </w:p>
        </w:tc>
        <w:tc>
          <w:tcPr>
            <w:tcW w:w="4984" w:type="dxa"/>
            <w:tcBorders>
              <w:top w:val="single" w:color="000000" w:sz="4" w:space="0"/>
              <w:left w:val="nil"/>
              <w:bottom w:val="single" w:color="000000" w:sz="4" w:space="0"/>
              <w:right w:val="single" w:color="000000" w:sz="4" w:space="0"/>
            </w:tcBorders>
            <w:shd w:val="clear" w:color="auto" w:fill="auto"/>
            <w:vAlign w:val="top"/>
          </w:tcPr>
          <w:p w14:paraId="116589F2">
            <w:pPr>
              <w:pStyle w:val="31"/>
              <w:keepNext w:val="0"/>
              <w:keepLines w:val="0"/>
              <w:widowControl/>
              <w:suppressLineNumbers w:val="0"/>
              <w:overflowPunct w:val="0"/>
              <w:topLinePunct/>
              <w:autoSpaceDE/>
              <w:autoSpaceDN w:val="0"/>
              <w:spacing w:before="0" w:beforeAutospacing="0" w:after="0" w:afterAutospacing="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鄂尔多斯市总工会职工服务中心</w:t>
            </w:r>
          </w:p>
        </w:tc>
        <w:tc>
          <w:tcPr>
            <w:tcW w:w="3083" w:type="dxa"/>
            <w:tcBorders>
              <w:top w:val="single" w:color="000000" w:sz="4" w:space="0"/>
              <w:left w:val="nil"/>
              <w:bottom w:val="single" w:color="000000" w:sz="4" w:space="0"/>
              <w:right w:val="single" w:color="000000" w:sz="4" w:space="0"/>
            </w:tcBorders>
            <w:shd w:val="clear" w:color="auto" w:fill="auto"/>
            <w:vAlign w:val="top"/>
          </w:tcPr>
          <w:p w14:paraId="3312E606">
            <w:pPr>
              <w:pStyle w:val="31"/>
              <w:keepNext w:val="0"/>
              <w:keepLines w:val="0"/>
              <w:widowControl/>
              <w:suppressLineNumbers w:val="0"/>
              <w:overflowPunct w:val="0"/>
              <w:topLinePunct/>
              <w:autoSpaceDE/>
              <w:autoSpaceDN w:val="0"/>
              <w:spacing w:before="0" w:beforeAutospacing="0" w:after="0" w:afterAutospacing="0"/>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公益一类事业单位</w:t>
            </w:r>
          </w:p>
        </w:tc>
      </w:tr>
      <w:tr w14:paraId="7AFA9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94F9">
            <w:pPr>
              <w:pStyle w:val="31"/>
              <w:keepNext w:val="0"/>
              <w:keepLines w:val="0"/>
              <w:widowControl/>
              <w:suppressLineNumbers w:val="0"/>
              <w:overflowPunct w:val="0"/>
              <w:topLinePunct/>
              <w:autoSpaceDE/>
              <w:autoSpaceDN w:val="0"/>
              <w:spacing w:before="0" w:beforeAutospacing="0" w:after="0" w:afterAutospacing="0"/>
              <w:jc w:val="center"/>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3</w:t>
            </w:r>
          </w:p>
        </w:tc>
        <w:tc>
          <w:tcPr>
            <w:tcW w:w="4984" w:type="dxa"/>
            <w:tcBorders>
              <w:top w:val="single" w:color="000000" w:sz="4" w:space="0"/>
              <w:left w:val="nil"/>
              <w:bottom w:val="single" w:color="000000" w:sz="4" w:space="0"/>
              <w:right w:val="single" w:color="000000" w:sz="4" w:space="0"/>
            </w:tcBorders>
            <w:shd w:val="clear" w:color="auto" w:fill="auto"/>
            <w:vAlign w:val="top"/>
          </w:tcPr>
          <w:p w14:paraId="32B55E13">
            <w:pPr>
              <w:pStyle w:val="31"/>
              <w:keepNext w:val="0"/>
              <w:keepLines w:val="0"/>
              <w:widowControl/>
              <w:suppressLineNumbers w:val="0"/>
              <w:overflowPunct w:val="0"/>
              <w:topLinePunct/>
              <w:autoSpaceDE/>
              <w:autoSpaceDN w:val="0"/>
              <w:spacing w:before="0" w:beforeAutospacing="0" w:after="0" w:afterAutospacing="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鄂尔多斯市工人文化宫</w:t>
            </w:r>
          </w:p>
        </w:tc>
        <w:tc>
          <w:tcPr>
            <w:tcW w:w="3083" w:type="dxa"/>
            <w:tcBorders>
              <w:top w:val="single" w:color="000000" w:sz="4" w:space="0"/>
              <w:left w:val="nil"/>
              <w:bottom w:val="single" w:color="000000" w:sz="4" w:space="0"/>
              <w:right w:val="single" w:color="000000" w:sz="4" w:space="0"/>
            </w:tcBorders>
            <w:shd w:val="clear" w:color="auto" w:fill="auto"/>
            <w:vAlign w:val="top"/>
          </w:tcPr>
          <w:p w14:paraId="62EDBA4D">
            <w:pPr>
              <w:pStyle w:val="31"/>
              <w:keepNext w:val="0"/>
              <w:keepLines w:val="0"/>
              <w:widowControl/>
              <w:suppressLineNumbers w:val="0"/>
              <w:overflowPunct w:val="0"/>
              <w:topLinePunct/>
              <w:autoSpaceDE/>
              <w:autoSpaceDN w:val="0"/>
              <w:spacing w:before="0" w:beforeAutospacing="0" w:after="0" w:afterAutospacing="0"/>
              <w:rPr>
                <w:rFonts w:hint="eastAsia" w:ascii="仿宋" w:hAnsi="仿宋" w:eastAsia="仿宋" w:cs="仿宋"/>
                <w:kern w:val="0"/>
                <w:sz w:val="32"/>
                <w:szCs w:val="32"/>
                <w:u w:val="none" w:color="auto"/>
              </w:rPr>
            </w:pPr>
            <w:r>
              <w:rPr>
                <w:rFonts w:hint="eastAsia" w:ascii="仿宋" w:hAnsi="仿宋" w:eastAsia="仿宋" w:cs="仿宋"/>
                <w:color w:val="000000"/>
                <w:kern w:val="0"/>
                <w:sz w:val="32"/>
                <w:szCs w:val="32"/>
                <w:u w:val="none" w:color="auto"/>
              </w:rPr>
              <w:t>公益二类事业单位</w:t>
            </w:r>
          </w:p>
        </w:tc>
      </w:tr>
    </w:tbl>
    <w:p w14:paraId="13A9BF78">
      <w:pPr>
        <w:keepNext w:val="0"/>
        <w:keepLines w:val="0"/>
        <w:widowControl/>
        <w:suppressLineNumbers w:val="0"/>
        <w:overflowPunct w:val="0"/>
        <w:topLinePunct/>
        <w:spacing w:before="0" w:beforeAutospacing="1" w:after="0" w:afterAutospacing="1" w:line="600" w:lineRule="atLeast"/>
        <w:ind w:right="0"/>
        <w:jc w:val="both"/>
        <w:outlineLvl w:val="1"/>
        <w:rPr>
          <w:rFonts w:hint="eastAsia" w:ascii="黑体" w:hAnsi="宋体" w:eastAsia="黑体" w:cs="黑体"/>
          <w:b/>
          <w:bCs/>
          <w:kern w:val="0"/>
          <w:sz w:val="32"/>
          <w:szCs w:val="32"/>
          <w:u w:val="none" w:color="auto"/>
          <w:lang w:bidi="ar"/>
        </w:rPr>
      </w:pPr>
      <w:bookmarkStart w:id="5" w:name="_Toc16723"/>
      <w:r>
        <w:rPr>
          <w:rFonts w:hint="eastAsia" w:ascii="黑体" w:hAnsi="宋体" w:eastAsia="黑体" w:cs="黑体"/>
          <w:b/>
          <w:bCs/>
          <w:kern w:val="0"/>
          <w:sz w:val="32"/>
          <w:szCs w:val="32"/>
          <w:u w:val="none" w:color="auto"/>
          <w:lang w:bidi="ar"/>
        </w:rPr>
        <w:t>三、2023年度部门主要工作完成情况</w:t>
      </w:r>
      <w:bookmarkEnd w:id="5"/>
    </w:p>
    <w:p w14:paraId="1E68BB0F">
      <w:pPr>
        <w:pStyle w:val="16"/>
        <w:keepNext w:val="0"/>
        <w:keepLines w:val="0"/>
        <w:pageBreakBefore w:val="0"/>
        <w:kinsoku/>
        <w:overflowPunct w:val="0"/>
        <w:topLinePunct/>
        <w:autoSpaceDE/>
        <w:autoSpaceDN/>
        <w:bidi w:val="0"/>
        <w:adjustRightInd/>
        <w:snapToGrid/>
        <w:spacing w:line="560" w:lineRule="exact"/>
        <w:ind w:left="0" w:leftChars="0" w:firstLine="652" w:firstLineChars="200"/>
        <w:jc w:val="both"/>
        <w:rPr>
          <w:rFonts w:hint="eastAsia" w:ascii="仿宋" w:hAnsi="仿宋" w:eastAsia="仿宋" w:cs="仿宋"/>
          <w:kern w:val="2"/>
          <w:sz w:val="32"/>
          <w:szCs w:val="32"/>
          <w:u w:val="none" w:color="auto"/>
          <w:lang w:val="en-US" w:eastAsia="zh-CN"/>
        </w:rPr>
      </w:pPr>
      <w:r>
        <w:rPr>
          <w:rFonts w:hint="eastAsia" w:ascii="仿宋" w:hAnsi="仿宋" w:eastAsia="仿宋" w:cs="仿宋"/>
          <w:kern w:val="2"/>
          <w:sz w:val="32"/>
          <w:szCs w:val="32"/>
          <w:u w:val="none" w:color="auto"/>
          <w:lang w:val="en-US" w:eastAsia="zh-CN"/>
        </w:rPr>
        <w:t>2023年，市总工会认真学习宣传贯彻党的二十大精神和中国工会十八大精神，深入落实市委五届五次全会暨全市经济工作会议和上级工会部署要求，紧紧聚焦完成好习近平总书记交给内蒙古的“五大任务”、全方位建设“模范自治区”和市委“三个四”目标任务，坚持围绕中心、服务大局，</w:t>
      </w:r>
      <w:r>
        <w:rPr>
          <w:rFonts w:hint="eastAsia" w:ascii="仿宋" w:hAnsi="仿宋" w:eastAsia="仿宋" w:cs="仿宋"/>
          <w:color w:val="000000"/>
          <w:sz w:val="32"/>
          <w:szCs w:val="32"/>
          <w:u w:val="none" w:color="auto"/>
          <w:lang w:val="en-US" w:eastAsia="zh-CN" w:bidi="ar-SA"/>
        </w:rPr>
        <w:t>稳步有序</w:t>
      </w:r>
      <w:r>
        <w:rPr>
          <w:rFonts w:hint="eastAsia" w:ascii="仿宋" w:hAnsi="仿宋" w:eastAsia="仿宋" w:cs="仿宋"/>
          <w:sz w:val="32"/>
          <w:szCs w:val="32"/>
          <w:u w:val="none" w:color="auto"/>
        </w:rPr>
        <w:t>推进职工思想引领、建功立业、维权服务等各项工作</w:t>
      </w:r>
      <w:r>
        <w:rPr>
          <w:rFonts w:hint="eastAsia" w:ascii="仿宋" w:hAnsi="仿宋" w:eastAsia="仿宋" w:cs="仿宋"/>
          <w:color w:val="000000"/>
          <w:sz w:val="32"/>
          <w:szCs w:val="32"/>
          <w:u w:val="none" w:color="auto"/>
          <w:lang w:val="en-US" w:eastAsia="zh-CN" w:bidi="ar-SA"/>
        </w:rPr>
        <w:t>。</w:t>
      </w:r>
    </w:p>
    <w:p w14:paraId="516B0876">
      <w:pPr>
        <w:keepNext w:val="0"/>
        <w:keepLines w:val="0"/>
        <w:pageBreakBefore w:val="0"/>
        <w:widowControl w:val="0"/>
        <w:numPr>
          <w:ilvl w:val="0"/>
          <w:numId w:val="1"/>
        </w:numPr>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sz w:val="32"/>
          <w:szCs w:val="32"/>
          <w:u w:val="none" w:color="auto"/>
          <w:lang w:eastAsia="zh-CN"/>
        </w:rPr>
        <w:t>坚持</w:t>
      </w:r>
      <w:r>
        <w:rPr>
          <w:rFonts w:hint="eastAsia" w:ascii="仿宋" w:hAnsi="仿宋" w:eastAsia="仿宋" w:cs="仿宋"/>
          <w:sz w:val="32"/>
          <w:szCs w:val="32"/>
          <w:u w:val="none" w:color="auto"/>
        </w:rPr>
        <w:t>党建</w:t>
      </w:r>
      <w:r>
        <w:rPr>
          <w:rFonts w:hint="eastAsia" w:ascii="仿宋" w:hAnsi="仿宋" w:eastAsia="仿宋" w:cs="仿宋"/>
          <w:sz w:val="32"/>
          <w:szCs w:val="32"/>
          <w:u w:val="none" w:color="auto"/>
          <w:lang w:eastAsia="zh-CN"/>
        </w:rPr>
        <w:t>带工建激发工会</w:t>
      </w:r>
      <w:r>
        <w:rPr>
          <w:rFonts w:hint="eastAsia" w:ascii="仿宋" w:hAnsi="仿宋" w:eastAsia="仿宋" w:cs="仿宋"/>
          <w:sz w:val="32"/>
          <w:szCs w:val="32"/>
          <w:u w:val="none" w:color="auto"/>
        </w:rPr>
        <w:t>新</w:t>
      </w:r>
      <w:r>
        <w:rPr>
          <w:rFonts w:hint="eastAsia" w:ascii="仿宋" w:hAnsi="仿宋" w:eastAsia="仿宋" w:cs="仿宋"/>
          <w:sz w:val="32"/>
          <w:szCs w:val="32"/>
          <w:u w:val="none" w:color="auto"/>
          <w:lang w:eastAsia="zh-CN"/>
        </w:rPr>
        <w:t>动能</w:t>
      </w:r>
    </w:p>
    <w:p w14:paraId="785F6745">
      <w:pPr>
        <w:keepNext w:val="0"/>
        <w:keepLines w:val="0"/>
        <w:pageBreakBefore w:val="0"/>
        <w:widowControl w:val="0"/>
        <w:numPr>
          <w:ilvl w:val="0"/>
          <w:numId w:val="0"/>
        </w:numPr>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1.强化思想理论建设。</w:t>
      </w:r>
      <w:r>
        <w:rPr>
          <w:rFonts w:hint="eastAsia" w:ascii="仿宋" w:hAnsi="仿宋" w:eastAsia="仿宋" w:cs="仿宋"/>
          <w:b w:val="0"/>
          <w:bCs w:val="0"/>
          <w:color w:val="000000"/>
          <w:sz w:val="32"/>
          <w:szCs w:val="32"/>
          <w:u w:val="none" w:color="auto"/>
          <w:lang w:val="en-US" w:eastAsia="zh-CN" w:bidi="ar-SA"/>
        </w:rPr>
        <w:t>按照时间节点，扎实推进学习贯彻习近平新时代中国特色社会主义思想主题教育。</w:t>
      </w:r>
      <w:r>
        <w:rPr>
          <w:rFonts w:hint="eastAsia" w:ascii="仿宋" w:hAnsi="仿宋" w:eastAsia="仿宋" w:cs="仿宋"/>
          <w:b w:val="0"/>
          <w:bCs w:val="0"/>
          <w:color w:val="000000"/>
          <w:kern w:val="2"/>
          <w:sz w:val="32"/>
          <w:szCs w:val="32"/>
          <w:u w:val="none" w:color="auto"/>
          <w:lang w:val="en-US" w:eastAsia="zh-CN" w:bidi="ar-SA"/>
        </w:rPr>
        <w:t>严格落实“第一议题”制度，制定《学习计划》，以深入学习贯彻习近平新时代中国特色社会主义思想、党的二十大精神、中国工会十八大精神及主题教育指定书目为重点，坚持理论学习与业务学习相结合，通过党组会议、党组理论学习中心组、党员大会、干部职工周例会开展集中理论学习。截至目前，召开党组理论学习中心组学习12次，讲授专题党课5次，廉政党课2次，专题研讨6次，专家讲座10次，读书班3期，党员干部学习40余次。深入开展“感党恩、听党话、跟党走”群众教育实践活动</w:t>
      </w:r>
      <w:r>
        <w:rPr>
          <w:rFonts w:hint="eastAsia" w:ascii="仿宋" w:hAnsi="仿宋" w:eastAsia="仿宋" w:cs="仿宋"/>
          <w:sz w:val="32"/>
          <w:szCs w:val="32"/>
          <w:u w:val="none" w:color="auto"/>
          <w:lang w:val="en-US" w:eastAsia="zh-CN"/>
        </w:rPr>
        <w:t>，</w:t>
      </w:r>
      <w:r>
        <w:rPr>
          <w:rFonts w:hint="eastAsia" w:ascii="仿宋" w:hAnsi="仿宋" w:eastAsia="仿宋" w:cs="仿宋"/>
          <w:color w:val="000000"/>
          <w:sz w:val="32"/>
          <w:szCs w:val="32"/>
          <w:u w:val="none" w:color="auto"/>
          <w:lang w:val="en-US" w:eastAsia="zh-CN" w:bidi="ar-SA"/>
        </w:rPr>
        <w:t>组建机关宣讲团</w:t>
      </w:r>
      <w:r>
        <w:rPr>
          <w:rFonts w:hint="eastAsia" w:ascii="仿宋" w:hAnsi="仿宋" w:eastAsia="仿宋" w:cs="仿宋"/>
          <w:color w:val="000000"/>
          <w:spacing w:val="0"/>
          <w:sz w:val="32"/>
          <w:szCs w:val="32"/>
          <w:u w:val="none" w:color="auto"/>
          <w:lang w:val="en-US" w:eastAsia="zh-CN" w:bidi="ar-SA"/>
        </w:rPr>
        <w:t>深入包联村、社区、机关进行铸牢中华民族共同体意识主</w:t>
      </w:r>
      <w:r>
        <w:rPr>
          <w:rFonts w:hint="eastAsia" w:ascii="仿宋" w:hAnsi="仿宋" w:eastAsia="仿宋" w:cs="仿宋"/>
          <w:color w:val="000000"/>
          <w:spacing w:val="-6"/>
          <w:sz w:val="32"/>
          <w:szCs w:val="32"/>
          <w:u w:val="none" w:color="auto"/>
          <w:lang w:val="en-US" w:eastAsia="zh-CN" w:bidi="ar-SA"/>
        </w:rPr>
        <w:t>题</w:t>
      </w:r>
      <w:r>
        <w:rPr>
          <w:rFonts w:hint="eastAsia" w:ascii="仿宋" w:hAnsi="仿宋" w:eastAsia="仿宋" w:cs="仿宋"/>
          <w:color w:val="000000"/>
          <w:sz w:val="32"/>
          <w:szCs w:val="32"/>
          <w:u w:val="none" w:color="auto"/>
          <w:lang w:val="en-US" w:eastAsia="zh-CN" w:bidi="ar-SA"/>
        </w:rPr>
        <w:t>宣讲。</w:t>
      </w:r>
    </w:p>
    <w:p w14:paraId="190523EA">
      <w:pPr>
        <w:keepNext w:val="0"/>
        <w:keepLines w:val="0"/>
        <w:pageBreakBefore w:val="0"/>
        <w:widowControl w:val="0"/>
        <w:numPr>
          <w:ilvl w:val="0"/>
          <w:numId w:val="0"/>
        </w:numPr>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2.提升党建工作质量。</w:t>
      </w:r>
      <w:r>
        <w:rPr>
          <w:rFonts w:hint="eastAsia" w:ascii="仿宋" w:hAnsi="仿宋" w:eastAsia="仿宋" w:cs="仿宋"/>
          <w:sz w:val="32"/>
          <w:szCs w:val="32"/>
          <w:u w:val="none" w:color="auto"/>
          <w:lang w:eastAsia="zh-CN"/>
        </w:rPr>
        <w:t>按照一支部一特色，</w:t>
      </w:r>
      <w:r>
        <w:rPr>
          <w:rFonts w:hint="eastAsia" w:ascii="仿宋" w:hAnsi="仿宋" w:eastAsia="仿宋" w:cs="仿宋"/>
          <w:color w:val="000000"/>
          <w:sz w:val="32"/>
          <w:szCs w:val="32"/>
          <w:u w:val="none" w:color="auto"/>
          <w:lang w:val="en-US" w:eastAsia="zh-CN" w:bidi="ar-SA"/>
        </w:rPr>
        <w:t>创新打造“党工e家”党建品牌，</w:t>
      </w:r>
      <w:r>
        <w:rPr>
          <w:rFonts w:hint="eastAsia" w:ascii="仿宋" w:hAnsi="仿宋" w:eastAsia="仿宋" w:cs="仿宋"/>
          <w:sz w:val="32"/>
          <w:szCs w:val="32"/>
          <w:u w:val="none" w:color="auto"/>
        </w:rPr>
        <w:t>将党建工作与工会业务工作深度融合，</w:t>
      </w:r>
      <w:r>
        <w:rPr>
          <w:rFonts w:hint="eastAsia" w:ascii="仿宋" w:hAnsi="仿宋" w:eastAsia="仿宋" w:cs="仿宋"/>
          <w:color w:val="000000"/>
          <w:sz w:val="32"/>
          <w:szCs w:val="32"/>
          <w:u w:val="none" w:color="auto"/>
          <w:lang w:val="en-US" w:eastAsia="zh-CN" w:bidi="ar-SA"/>
        </w:rPr>
        <w:t>做到标识形象化、内涵个性化、活动特色化，实现全员参与，形成“1+N”的党建品牌体系。召开全市工会系统党的建设暨党风廉政建设工作会议，工会重点领域风险防控力不断提升，风清气正的干事氛围日益浓厚。深入开展结对共建“双报到双服务双融入”工作，召开结对共建工作座谈会，就社区基层党建、服务群众、结对共建等工作进行交流，并签订共驻共建协议书。开展各类主题党日活动16次。</w:t>
      </w:r>
    </w:p>
    <w:p w14:paraId="766C5055">
      <w:pPr>
        <w:keepNext w:val="0"/>
        <w:keepLines w:val="0"/>
        <w:pageBreakBefore w:val="0"/>
        <w:widowControl w:val="0"/>
        <w:numPr>
          <w:ilvl w:val="0"/>
          <w:numId w:val="0"/>
        </w:numPr>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3.严格落实工会意识形态工作。</w:t>
      </w:r>
      <w:r>
        <w:rPr>
          <w:rFonts w:hint="eastAsia" w:ascii="仿宋" w:hAnsi="仿宋" w:eastAsia="仿宋" w:cs="仿宋"/>
          <w:color w:val="000000"/>
          <w:sz w:val="32"/>
          <w:szCs w:val="32"/>
          <w:u w:val="none" w:color="auto"/>
          <w:lang w:val="en-US" w:eastAsia="zh-CN" w:bidi="ar-SA"/>
        </w:rPr>
        <w:t>加强意识形态工作分析研判，组织开展2023年全市工会系统宣传思想工作会议和意识形态、铸牢中华民族共同体意识专题培训班，制定印发《2023年意识形态工作要点》《意识形态工作考核与责任追究制度》《网络舆情预警机制及应对预案》,完善全市工会系统网络舆情工作机制，及时发现、研判、处置可能引发的群体性事件和社会动态的网络舆情，牢牢掌控网络意识形态主导权。</w:t>
      </w:r>
    </w:p>
    <w:p w14:paraId="13B3DAB5">
      <w:pPr>
        <w:keepNext w:val="0"/>
        <w:keepLines w:val="0"/>
        <w:pageBreakBefore w:val="0"/>
        <w:widowControl w:val="0"/>
        <w:numPr>
          <w:ilvl w:val="0"/>
          <w:numId w:val="0"/>
        </w:numPr>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4.加强干部队伍建设。</w:t>
      </w:r>
      <w:r>
        <w:rPr>
          <w:rFonts w:hint="eastAsia" w:ascii="仿宋" w:hAnsi="仿宋" w:eastAsia="仿宋" w:cs="仿宋"/>
          <w:color w:val="000000"/>
          <w:sz w:val="32"/>
          <w:szCs w:val="32"/>
          <w:u w:val="none" w:color="auto"/>
          <w:lang w:val="en-US" w:eastAsia="zh-CN" w:bidi="ar-SA"/>
        </w:rPr>
        <w:t>组织市总机关22名党员干部赴贵州遵义开展了学习贯彻党的二十大精神暨“重走长征路·奋进新征程”党员教育培训班，为强化党员理想信念，提升党组织战斗力和凝聚力，开展好习近平新时代中国特色社会主义思想主题教育奠定了坚实的理论和实践基础。同时不断加大工会干部协管力度，协助伊旗、乌审旗、杭锦旗等地方党委选优配强工会领导班子。全年招录社会化工会工作者和专职集体协商指导员44名，补充到工会工作力量薄弱地区。</w:t>
      </w:r>
    </w:p>
    <w:p w14:paraId="093637AC">
      <w:pPr>
        <w:keepNext w:val="0"/>
        <w:keepLines w:val="0"/>
        <w:pageBreakBefore w:val="0"/>
        <w:widowControl w:val="0"/>
        <w:kinsoku/>
        <w:overflowPunct w:val="0"/>
        <w:topLinePunct/>
        <w:autoSpaceDE/>
        <w:autoSpaceDN/>
        <w:bidi w:val="0"/>
        <w:adjustRightInd/>
        <w:snapToGrid/>
        <w:spacing w:line="560" w:lineRule="exact"/>
        <w:ind w:firstLine="720"/>
        <w:textAlignment w:val="auto"/>
        <w:rPr>
          <w:rFonts w:hint="eastAsia" w:ascii="仿宋" w:hAnsi="仿宋" w:eastAsia="仿宋" w:cs="仿宋"/>
          <w:sz w:val="32"/>
          <w:szCs w:val="32"/>
          <w:u w:val="none" w:color="auto"/>
          <w:lang w:val="en-US" w:eastAsia="zh-CN"/>
        </w:rPr>
      </w:pPr>
      <w:r>
        <w:rPr>
          <w:rFonts w:hint="eastAsia" w:ascii="仿宋" w:hAnsi="仿宋" w:eastAsia="仿宋" w:cs="仿宋"/>
          <w:sz w:val="32"/>
          <w:szCs w:val="32"/>
          <w:u w:val="none" w:color="auto"/>
        </w:rPr>
        <w:t>（</w:t>
      </w:r>
      <w:r>
        <w:rPr>
          <w:rFonts w:hint="eastAsia" w:ascii="仿宋" w:hAnsi="仿宋" w:eastAsia="仿宋" w:cs="仿宋"/>
          <w:sz w:val="32"/>
          <w:szCs w:val="32"/>
          <w:u w:val="none" w:color="auto"/>
          <w:lang w:eastAsia="zh-CN"/>
        </w:rPr>
        <w:t>二</w:t>
      </w:r>
      <w:r>
        <w:rPr>
          <w:rFonts w:hint="eastAsia" w:ascii="仿宋" w:hAnsi="仿宋" w:eastAsia="仿宋" w:cs="仿宋"/>
          <w:sz w:val="32"/>
          <w:szCs w:val="32"/>
          <w:u w:val="none" w:color="auto"/>
        </w:rPr>
        <w:t>）</w:t>
      </w:r>
      <w:r>
        <w:rPr>
          <w:rFonts w:hint="eastAsia" w:ascii="仿宋" w:hAnsi="仿宋" w:eastAsia="仿宋" w:cs="仿宋"/>
          <w:sz w:val="32"/>
          <w:szCs w:val="32"/>
          <w:u w:val="none" w:color="auto"/>
          <w:lang w:eastAsia="zh-CN"/>
        </w:rPr>
        <w:t>持续强化职工思想政治引领</w:t>
      </w:r>
    </w:p>
    <w:p w14:paraId="0CA131EC">
      <w:pPr>
        <w:keepNext w:val="0"/>
        <w:keepLines w:val="0"/>
        <w:pageBreakBefore w:val="0"/>
        <w:widowControl w:val="0"/>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sz w:val="32"/>
          <w:szCs w:val="32"/>
          <w:u w:val="none" w:color="auto"/>
          <w:lang w:val="en-US" w:eastAsia="zh-CN"/>
        </w:rPr>
      </w:pPr>
      <w:r>
        <w:rPr>
          <w:rFonts w:hint="eastAsia" w:ascii="仿宋" w:hAnsi="仿宋" w:eastAsia="仿宋" w:cs="仿宋"/>
          <w:b/>
          <w:sz w:val="32"/>
          <w:szCs w:val="32"/>
          <w:u w:val="none" w:color="auto"/>
          <w:lang w:val="en-US" w:eastAsia="zh-CN"/>
        </w:rPr>
        <w:t>1.提高</w:t>
      </w:r>
      <w:r>
        <w:rPr>
          <w:rFonts w:hint="eastAsia" w:ascii="仿宋" w:hAnsi="仿宋" w:eastAsia="仿宋" w:cs="仿宋"/>
          <w:b/>
          <w:sz w:val="32"/>
          <w:szCs w:val="32"/>
          <w:u w:val="none" w:color="auto"/>
        </w:rPr>
        <w:t>职工思想</w:t>
      </w:r>
      <w:r>
        <w:rPr>
          <w:rFonts w:hint="eastAsia" w:ascii="仿宋" w:hAnsi="仿宋" w:eastAsia="仿宋" w:cs="仿宋"/>
          <w:b/>
          <w:sz w:val="32"/>
          <w:szCs w:val="32"/>
          <w:u w:val="none" w:color="auto"/>
          <w:lang w:eastAsia="zh-CN"/>
        </w:rPr>
        <w:t>认知水平</w:t>
      </w:r>
      <w:r>
        <w:rPr>
          <w:rFonts w:hint="eastAsia" w:ascii="仿宋" w:hAnsi="仿宋" w:eastAsia="仿宋" w:cs="仿宋"/>
          <w:b/>
          <w:sz w:val="32"/>
          <w:szCs w:val="32"/>
          <w:u w:val="none" w:color="auto"/>
        </w:rPr>
        <w:t>。</w:t>
      </w:r>
      <w:r>
        <w:rPr>
          <w:rFonts w:hint="eastAsia" w:ascii="仿宋" w:hAnsi="仿宋" w:eastAsia="仿宋" w:cs="仿宋"/>
          <w:sz w:val="32"/>
          <w:szCs w:val="32"/>
          <w:u w:val="none" w:color="auto"/>
        </w:rPr>
        <w:t>组建市职工宣讲团，由市总领导班子带队，分赴基层一线开展党的二十大精神</w:t>
      </w:r>
      <w:r>
        <w:rPr>
          <w:rFonts w:hint="eastAsia" w:ascii="仿宋" w:hAnsi="仿宋" w:eastAsia="仿宋" w:cs="仿宋"/>
          <w:sz w:val="32"/>
          <w:szCs w:val="32"/>
          <w:u w:val="none" w:color="auto"/>
          <w:lang w:eastAsia="zh-CN"/>
        </w:rPr>
        <w:t>、</w:t>
      </w:r>
      <w:r>
        <w:rPr>
          <w:rFonts w:hint="eastAsia" w:ascii="仿宋" w:hAnsi="仿宋" w:eastAsia="仿宋" w:cs="仿宋"/>
          <w:kern w:val="2"/>
          <w:sz w:val="32"/>
          <w:szCs w:val="32"/>
          <w:u w:val="none" w:color="auto"/>
          <w:lang w:val="en-US" w:eastAsia="zh-CN" w:bidi="ar-SA"/>
        </w:rPr>
        <w:t>习近平总书记考察内蒙古重要讲话精神和中国工会十八大精神等</w:t>
      </w:r>
      <w:r>
        <w:rPr>
          <w:rFonts w:hint="eastAsia" w:ascii="仿宋" w:hAnsi="仿宋" w:eastAsia="仿宋" w:cs="仿宋"/>
          <w:sz w:val="32"/>
          <w:szCs w:val="32"/>
          <w:u w:val="none" w:color="auto"/>
        </w:rPr>
        <w:t>宣讲</w:t>
      </w:r>
      <w:r>
        <w:rPr>
          <w:rFonts w:hint="eastAsia" w:ascii="仿宋" w:hAnsi="仿宋" w:eastAsia="仿宋" w:cs="仿宋"/>
          <w:sz w:val="32"/>
          <w:szCs w:val="32"/>
          <w:u w:val="none" w:color="auto"/>
          <w:lang w:eastAsia="zh-CN"/>
        </w:rPr>
        <w:t>；组织百名女劳模，</w:t>
      </w:r>
      <w:r>
        <w:rPr>
          <w:rFonts w:hint="eastAsia" w:ascii="仿宋" w:hAnsi="仿宋" w:eastAsia="仿宋" w:cs="仿宋"/>
          <w:sz w:val="32"/>
          <w:szCs w:val="32"/>
          <w:u w:val="none" w:color="auto"/>
          <w:lang w:val="en-US" w:eastAsia="zh-CN"/>
        </w:rPr>
        <w:t>开展巾帼劳模进校园宣讲；</w:t>
      </w:r>
      <w:r>
        <w:rPr>
          <w:rFonts w:hint="eastAsia" w:ascii="仿宋" w:hAnsi="仿宋" w:eastAsia="仿宋" w:cs="仿宋"/>
          <w:sz w:val="32"/>
          <w:szCs w:val="32"/>
          <w:u w:val="none" w:color="auto"/>
        </w:rPr>
        <w:t>同步在市总微信公众号开辟“宣讲进行时”专栏进行跟踪报道</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rPr>
        <w:t>累计开展宣讲440余场，受众3.5万余人。</w:t>
      </w:r>
      <w:r>
        <w:rPr>
          <w:rFonts w:hint="eastAsia" w:ascii="仿宋" w:hAnsi="仿宋" w:eastAsia="仿宋" w:cs="仿宋"/>
          <w:sz w:val="32"/>
          <w:szCs w:val="32"/>
          <w:u w:val="none" w:color="auto"/>
          <w:lang w:val="en-US" w:eastAsia="zh-CN"/>
        </w:rPr>
        <w:t>先后</w:t>
      </w:r>
      <w:r>
        <w:rPr>
          <w:rFonts w:hint="eastAsia" w:ascii="仿宋" w:hAnsi="仿宋" w:eastAsia="仿宋" w:cs="仿宋"/>
          <w:sz w:val="32"/>
          <w:szCs w:val="32"/>
          <w:u w:val="none" w:color="auto"/>
        </w:rPr>
        <w:t>制作完成市总形象宣传片</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lang w:val="en-US" w:eastAsia="zh-CN"/>
        </w:rPr>
        <w:t>劳模风采录</w:t>
      </w:r>
      <w:r>
        <w:rPr>
          <w:rFonts w:hint="eastAsia" w:ascii="仿宋" w:hAnsi="仿宋" w:eastAsia="仿宋" w:cs="仿宋"/>
          <w:sz w:val="32"/>
          <w:szCs w:val="32"/>
          <w:u w:val="none" w:color="auto"/>
        </w:rPr>
        <w:t>及劳模微宣讲、中国工会十八大代表访谈录和2023年全市最美职工宣传短片</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rPr>
        <w:t>评选表彰10名“最美职工”和10名提名人选。举办全市职工党的二十大精神有奖答题和学习</w:t>
      </w:r>
      <w:r>
        <w:rPr>
          <w:rFonts w:hint="eastAsia" w:ascii="仿宋" w:hAnsi="仿宋" w:eastAsia="仿宋" w:cs="仿宋"/>
          <w:sz w:val="32"/>
          <w:szCs w:val="32"/>
          <w:u w:val="none" w:color="auto"/>
          <w:lang w:val="en-US" w:eastAsia="zh-CN"/>
        </w:rPr>
        <w:t>中国</w:t>
      </w:r>
      <w:r>
        <w:rPr>
          <w:rFonts w:hint="eastAsia" w:ascii="仿宋" w:hAnsi="仿宋" w:eastAsia="仿宋" w:cs="仿宋"/>
          <w:sz w:val="32"/>
          <w:szCs w:val="32"/>
          <w:u w:val="none" w:color="auto"/>
        </w:rPr>
        <w:t>工会十八大闯关赛等活动，累计吸引</w:t>
      </w:r>
      <w:r>
        <w:rPr>
          <w:rFonts w:hint="eastAsia" w:ascii="仿宋" w:hAnsi="仿宋" w:eastAsia="仿宋" w:cs="仿宋"/>
          <w:sz w:val="32"/>
          <w:szCs w:val="32"/>
          <w:u w:val="none" w:color="auto"/>
          <w:lang w:val="en-US" w:eastAsia="zh-CN"/>
        </w:rPr>
        <w:t>7</w:t>
      </w:r>
      <w:r>
        <w:rPr>
          <w:rFonts w:hint="eastAsia" w:ascii="仿宋" w:hAnsi="仿宋" w:eastAsia="仿宋" w:cs="仿宋"/>
          <w:sz w:val="32"/>
          <w:szCs w:val="32"/>
          <w:u w:val="none" w:color="auto"/>
        </w:rPr>
        <w:t>万</w:t>
      </w:r>
      <w:r>
        <w:rPr>
          <w:rFonts w:hint="eastAsia" w:ascii="仿宋" w:hAnsi="仿宋" w:eastAsia="仿宋" w:cs="仿宋"/>
          <w:sz w:val="32"/>
          <w:szCs w:val="32"/>
          <w:u w:val="none" w:color="auto"/>
          <w:lang w:val="en-US" w:eastAsia="zh-CN"/>
        </w:rPr>
        <w:t>多名</w:t>
      </w:r>
      <w:r>
        <w:rPr>
          <w:rFonts w:hint="eastAsia" w:ascii="仿宋" w:hAnsi="仿宋" w:eastAsia="仿宋" w:cs="仿宋"/>
          <w:sz w:val="32"/>
          <w:szCs w:val="32"/>
          <w:u w:val="none" w:color="auto"/>
        </w:rPr>
        <w:t>职工参与。推荐获评自治区职工书屋等荣誉13个，命名市级职工书屋15家、便利型阅读站点16家、劳模书架20个、“书香职工书屋”11家。</w:t>
      </w:r>
    </w:p>
    <w:p w14:paraId="24723618">
      <w:pPr>
        <w:keepNext w:val="0"/>
        <w:keepLines w:val="0"/>
        <w:pageBreakBefore w:val="0"/>
        <w:widowControl w:val="0"/>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sz w:val="32"/>
          <w:szCs w:val="32"/>
          <w:u w:val="none" w:color="auto"/>
          <w:lang w:val="en-US" w:eastAsia="zh-CN"/>
        </w:rPr>
      </w:pPr>
      <w:r>
        <w:rPr>
          <w:rFonts w:hint="eastAsia" w:ascii="仿宋" w:hAnsi="仿宋" w:eastAsia="仿宋" w:cs="仿宋"/>
          <w:b/>
          <w:sz w:val="32"/>
          <w:szCs w:val="32"/>
          <w:u w:val="none" w:color="auto"/>
          <w:lang w:val="en-US" w:eastAsia="zh-CN"/>
        </w:rPr>
        <w:t>2.</w:t>
      </w:r>
      <w:r>
        <w:rPr>
          <w:rFonts w:hint="eastAsia" w:ascii="仿宋" w:hAnsi="仿宋" w:eastAsia="仿宋" w:cs="仿宋"/>
          <w:b/>
          <w:bCs/>
          <w:sz w:val="32"/>
          <w:szCs w:val="32"/>
          <w:u w:val="none" w:color="auto"/>
          <w:lang w:val="en-US" w:eastAsia="zh-CN"/>
        </w:rPr>
        <w:t>职工文体活动竞相绽放。</w:t>
      </w:r>
      <w:r>
        <w:rPr>
          <w:rFonts w:hint="eastAsia" w:ascii="仿宋" w:hAnsi="仿宋" w:eastAsia="仿宋" w:cs="仿宋"/>
          <w:sz w:val="32"/>
          <w:szCs w:val="32"/>
          <w:u w:val="none" w:color="auto"/>
          <w:lang w:val="en-US" w:eastAsia="zh-CN"/>
        </w:rPr>
        <w:t>举办“中国梦·劳动美——凝心铸魂跟党走 团结奋斗新征程”全区职工美术作品展、自治区“圣圆”杯围棋段级位赛、“玫瑰书香 阅享芳华”第二期全市女职工阅读分享活动、元旦“送春联、送年画、送剪纸、猜灯谜”活动、全市职工演讲比赛、全市职工桥牌大赛等职工文体活动，组织参加自治区第四届职工运动会、自治区第七届职工美术书法摄影奖暨获奖作</w:t>
      </w:r>
      <w:r>
        <w:rPr>
          <w:rFonts w:hint="eastAsia" w:ascii="仿宋" w:hAnsi="仿宋" w:eastAsia="仿宋" w:cs="仿宋"/>
          <w:color w:val="000000"/>
          <w:sz w:val="32"/>
          <w:szCs w:val="32"/>
          <w:u w:val="none" w:color="auto"/>
          <w:lang w:val="en-US" w:eastAsia="zh-CN"/>
        </w:rPr>
        <w:t>品展、自治区职工文艺汇演、</w:t>
      </w:r>
      <w:r>
        <w:rPr>
          <w:rFonts w:hint="eastAsia" w:ascii="仿宋" w:hAnsi="仿宋" w:eastAsia="仿宋" w:cs="仿宋"/>
          <w:sz w:val="32"/>
          <w:szCs w:val="32"/>
          <w:u w:val="none" w:color="auto"/>
          <w:lang w:val="en-US" w:eastAsia="zh-CN"/>
        </w:rPr>
        <w:t>全区“劳动者说”随手拍视频征集大赛等，并斩获多项大奖，累计参与职工近3万人次。市工人文化宫成功挂牌内蒙古职工文联创作培训基地。</w:t>
      </w:r>
    </w:p>
    <w:p w14:paraId="0260EDA8">
      <w:pPr>
        <w:keepNext w:val="0"/>
        <w:keepLines w:val="0"/>
        <w:pageBreakBefore w:val="0"/>
        <w:widowControl w:val="0"/>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sz w:val="32"/>
          <w:szCs w:val="32"/>
          <w:u w:val="none" w:color="auto"/>
          <w:lang w:val="en-US" w:eastAsia="zh-CN"/>
        </w:rPr>
        <w:t>3.宣教工作质效显著提升。</w:t>
      </w:r>
      <w:r>
        <w:rPr>
          <w:rFonts w:hint="eastAsia" w:ascii="仿宋" w:hAnsi="仿宋" w:eastAsia="仿宋" w:cs="仿宋"/>
          <w:sz w:val="32"/>
          <w:szCs w:val="32"/>
          <w:u w:val="none" w:color="auto"/>
        </w:rPr>
        <w:t>在市总官方微信公众号开辟《工会主席“微论坛”》《推进工会加强年》《团结奋斗开新局 喜迎工会十八大》等专栏，共发布信息900余条，</w:t>
      </w:r>
      <w:r>
        <w:rPr>
          <w:rFonts w:hint="eastAsia" w:ascii="仿宋" w:hAnsi="仿宋" w:eastAsia="仿宋" w:cs="仿宋"/>
          <w:sz w:val="32"/>
          <w:szCs w:val="32"/>
          <w:u w:val="none" w:color="auto"/>
          <w:lang w:val="en-US" w:eastAsia="zh-CN"/>
        </w:rPr>
        <w:t>短视频250余条，</w:t>
      </w:r>
      <w:r>
        <w:rPr>
          <w:rFonts w:hint="eastAsia" w:ascii="仿宋" w:hAnsi="仿宋" w:eastAsia="仿宋" w:cs="仿宋"/>
          <w:sz w:val="32"/>
          <w:szCs w:val="32"/>
          <w:u w:val="none" w:color="auto"/>
        </w:rPr>
        <w:t>阅读量200万人次，粉丝14.4万人。</w:t>
      </w:r>
      <w:r>
        <w:rPr>
          <w:rFonts w:hint="eastAsia" w:ascii="仿宋" w:hAnsi="仿宋" w:eastAsia="仿宋" w:cs="仿宋"/>
          <w:sz w:val="32"/>
          <w:szCs w:val="32"/>
          <w:u w:val="none" w:color="auto"/>
          <w:lang w:val="en-US" w:eastAsia="zh-CN"/>
        </w:rPr>
        <w:t>积极与各级媒体沟通合作，累计在工人日报、人民网、新华社、学习强国、内蒙古日报等平台发布信息300余篇，持续扩大工会宣传影响力。利用楼宇电视、公交站牌、道旗、刷屏机及文体交广调频等媒体资源，在人员密集场所开展工会社会面宣传，</w:t>
      </w:r>
      <w:r>
        <w:rPr>
          <w:rFonts w:hint="eastAsia" w:ascii="仿宋" w:hAnsi="仿宋" w:eastAsia="仿宋" w:cs="仿宋"/>
          <w:color w:val="000000"/>
          <w:sz w:val="32"/>
          <w:szCs w:val="32"/>
          <w:u w:val="none" w:color="auto"/>
          <w:lang w:val="en-US" w:eastAsia="zh-CN" w:bidi="ar-SA"/>
        </w:rPr>
        <w:t>营造社会良好宣传氛围。</w:t>
      </w:r>
    </w:p>
    <w:p w14:paraId="364ECAC6">
      <w:pPr>
        <w:pStyle w:val="16"/>
        <w:keepNext w:val="0"/>
        <w:keepLines w:val="0"/>
        <w:pageBreakBefore w:val="0"/>
        <w:kinsoku/>
        <w:overflowPunct w:val="0"/>
        <w:topLinePunct/>
        <w:autoSpaceDE/>
        <w:autoSpaceDN/>
        <w:bidi w:val="0"/>
        <w:adjustRightInd/>
        <w:snapToGrid/>
        <w:spacing w:line="560" w:lineRule="exact"/>
        <w:ind w:left="0" w:leftChars="0" w:firstLine="628" w:firstLineChars="193"/>
        <w:jc w:val="both"/>
        <w:textAlignment w:val="auto"/>
        <w:rPr>
          <w:rFonts w:hint="eastAsia" w:ascii="仿宋" w:hAnsi="仿宋" w:eastAsia="仿宋" w:cs="仿宋"/>
          <w:sz w:val="32"/>
          <w:szCs w:val="32"/>
          <w:u w:val="none" w:color="auto"/>
        </w:rPr>
      </w:pP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三</w:t>
      </w:r>
      <w:r>
        <w:rPr>
          <w:rFonts w:hint="eastAsia" w:ascii="仿宋" w:hAnsi="仿宋" w:eastAsia="仿宋" w:cs="仿宋"/>
          <w:color w:val="auto"/>
          <w:sz w:val="32"/>
          <w:szCs w:val="32"/>
          <w:u w:val="none" w:color="auto"/>
        </w:rPr>
        <w:t>）动员职工奋发有为建功立业</w:t>
      </w:r>
    </w:p>
    <w:p w14:paraId="726604E4">
      <w:pPr>
        <w:keepNext w:val="0"/>
        <w:keepLines w:val="0"/>
        <w:pageBreakBefore w:val="0"/>
        <w:widowControl w:val="0"/>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sz w:val="32"/>
          <w:szCs w:val="32"/>
          <w:u w:val="none" w:color="auto"/>
        </w:rPr>
      </w:pPr>
      <w:r>
        <w:rPr>
          <w:rFonts w:hint="eastAsia" w:ascii="仿宋" w:hAnsi="仿宋" w:eastAsia="仿宋" w:cs="仿宋"/>
          <w:b/>
          <w:sz w:val="32"/>
          <w:szCs w:val="32"/>
          <w:u w:val="none" w:color="auto"/>
          <w:lang w:val="en-US" w:eastAsia="zh-CN"/>
        </w:rPr>
        <w:t>1.</w:t>
      </w:r>
      <w:r>
        <w:rPr>
          <w:rFonts w:hint="eastAsia" w:ascii="仿宋" w:hAnsi="仿宋" w:eastAsia="仿宋" w:cs="仿宋"/>
          <w:b/>
          <w:sz w:val="32"/>
          <w:szCs w:val="32"/>
          <w:u w:val="none" w:color="auto"/>
        </w:rPr>
        <w:t>扎实推进产业工人队伍建设改革。</w:t>
      </w:r>
      <w:r>
        <w:rPr>
          <w:rFonts w:hint="eastAsia" w:ascii="仿宋" w:hAnsi="仿宋" w:eastAsia="仿宋" w:cs="仿宋"/>
          <w:sz w:val="32"/>
          <w:szCs w:val="32"/>
          <w:u w:val="none" w:color="auto"/>
        </w:rPr>
        <w:t>深化</w:t>
      </w:r>
      <w:r>
        <w:rPr>
          <w:rFonts w:hint="eastAsia" w:ascii="仿宋" w:hAnsi="仿宋" w:eastAsia="仿宋" w:cs="仿宋"/>
          <w:sz w:val="32"/>
          <w:szCs w:val="32"/>
          <w:u w:val="none" w:color="auto"/>
          <w:lang w:eastAsia="zh-CN"/>
        </w:rPr>
        <w:t>产教融合、</w:t>
      </w:r>
      <w:r>
        <w:rPr>
          <w:rFonts w:hint="eastAsia" w:ascii="仿宋" w:hAnsi="仿宋" w:eastAsia="仿宋" w:cs="仿宋"/>
          <w:sz w:val="32"/>
          <w:szCs w:val="32"/>
          <w:u w:val="none" w:color="auto"/>
        </w:rPr>
        <w:t>校企合作，</w:t>
      </w:r>
      <w:r>
        <w:rPr>
          <w:rFonts w:hint="eastAsia" w:ascii="仿宋" w:hAnsi="仿宋" w:eastAsia="仿宋" w:cs="仿宋"/>
          <w:sz w:val="32"/>
          <w:szCs w:val="32"/>
          <w:u w:val="none" w:color="auto"/>
          <w:lang w:eastAsia="zh-CN"/>
        </w:rPr>
        <w:t>与鄂尔多斯职业学院联合成立</w:t>
      </w:r>
      <w:r>
        <w:rPr>
          <w:rFonts w:hint="eastAsia" w:ascii="仿宋" w:hAnsi="仿宋" w:eastAsia="仿宋" w:cs="仿宋"/>
          <w:sz w:val="32"/>
          <w:szCs w:val="32"/>
          <w:u w:val="none" w:color="auto"/>
          <w:lang w:val="en-US" w:eastAsia="zh-CN"/>
        </w:rPr>
        <w:t>鄂尔多斯</w:t>
      </w:r>
      <w:r>
        <w:rPr>
          <w:rFonts w:hint="eastAsia" w:ascii="仿宋" w:hAnsi="仿宋" w:eastAsia="仿宋" w:cs="仿宋"/>
          <w:sz w:val="32"/>
          <w:szCs w:val="32"/>
          <w:u w:val="none" w:color="auto"/>
        </w:rPr>
        <w:t>工人科技大学。</w:t>
      </w:r>
      <w:r>
        <w:rPr>
          <w:rFonts w:hint="eastAsia" w:ascii="仿宋" w:hAnsi="仿宋" w:eastAsia="仿宋" w:cs="仿宋"/>
          <w:sz w:val="32"/>
          <w:szCs w:val="32"/>
          <w:u w:val="none" w:color="auto"/>
          <w:lang w:eastAsia="zh-CN"/>
        </w:rPr>
        <w:t>发挥双方资源优势，采用互联网</w:t>
      </w:r>
      <w:r>
        <w:rPr>
          <w:rFonts w:hint="eastAsia" w:ascii="仿宋" w:hAnsi="仿宋" w:eastAsia="仿宋" w:cs="仿宋"/>
          <w:sz w:val="32"/>
          <w:szCs w:val="32"/>
          <w:u w:val="none" w:color="auto"/>
          <w:lang w:val="en-US" w:eastAsia="zh-CN"/>
        </w:rPr>
        <w:t>+大学、开放办学和灵活教育等多种方式，推出一批适应时代潮流、体现工会特色、切合职工需要的专业课程，成立以来完成线上线下培训产业工人39场次10448人次，完成产业工人学历提升近600人，开展了37个工种的职业技能等级鉴定近4000人。</w:t>
      </w:r>
      <w:r>
        <w:rPr>
          <w:rFonts w:hint="eastAsia" w:ascii="仿宋" w:hAnsi="仿宋" w:eastAsia="仿宋" w:cs="仿宋"/>
          <w:b w:val="0"/>
          <w:bCs w:val="0"/>
          <w:color w:val="000000"/>
          <w:kern w:val="2"/>
          <w:sz w:val="32"/>
          <w:szCs w:val="32"/>
          <w:u w:val="none" w:color="auto"/>
          <w:lang w:val="en-US" w:eastAsia="zh-CN" w:bidi="ar-SA"/>
        </w:rPr>
        <w:t>协调召开全市推进产业工人队伍建设改革暨思想政治联席会议第三次全体会议</w:t>
      </w:r>
      <w:r>
        <w:rPr>
          <w:rFonts w:hint="eastAsia" w:ascii="仿宋" w:hAnsi="仿宋" w:eastAsia="仿宋" w:cs="仿宋"/>
          <w:sz w:val="32"/>
          <w:szCs w:val="32"/>
          <w:u w:val="none" w:color="auto"/>
        </w:rPr>
        <w:t>，完成全市首批产改试点单位验收工作，评选出1家优秀产改全面试点单位，6家优秀产改项目试点单位</w:t>
      </w:r>
      <w:r>
        <w:rPr>
          <w:rFonts w:hint="eastAsia" w:ascii="仿宋" w:hAnsi="仿宋" w:eastAsia="仿宋" w:cs="仿宋"/>
          <w:sz w:val="32"/>
          <w:szCs w:val="32"/>
          <w:u w:val="none" w:color="auto"/>
          <w:lang w:eastAsia="zh-CN"/>
        </w:rPr>
        <w:t>，选树“最美产业工人”10名</w:t>
      </w:r>
      <w:r>
        <w:rPr>
          <w:rFonts w:hint="eastAsia" w:ascii="仿宋" w:hAnsi="仿宋" w:eastAsia="仿宋" w:cs="仿宋"/>
          <w:sz w:val="32"/>
          <w:szCs w:val="32"/>
          <w:u w:val="none" w:color="auto"/>
        </w:rPr>
        <w:t>。</w:t>
      </w:r>
    </w:p>
    <w:p w14:paraId="526DF0B9">
      <w:pPr>
        <w:keepNext w:val="0"/>
        <w:keepLines w:val="0"/>
        <w:pageBreakBefore w:val="0"/>
        <w:widowControl w:val="0"/>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bCs/>
          <w:sz w:val="32"/>
          <w:szCs w:val="32"/>
          <w:u w:val="none" w:color="auto"/>
          <w:lang w:eastAsia="zh-CN"/>
        </w:rPr>
      </w:pPr>
      <w:r>
        <w:rPr>
          <w:rFonts w:hint="eastAsia" w:ascii="仿宋" w:hAnsi="仿宋" w:eastAsia="仿宋" w:cs="仿宋"/>
          <w:b/>
          <w:sz w:val="32"/>
          <w:szCs w:val="32"/>
          <w:u w:val="none" w:color="auto"/>
          <w:lang w:val="en-US" w:eastAsia="zh-CN"/>
        </w:rPr>
        <w:t>2.</w:t>
      </w:r>
      <w:r>
        <w:rPr>
          <w:rFonts w:hint="eastAsia" w:ascii="仿宋" w:hAnsi="仿宋" w:eastAsia="仿宋" w:cs="仿宋"/>
          <w:b/>
          <w:sz w:val="32"/>
          <w:szCs w:val="32"/>
          <w:u w:val="none" w:color="auto"/>
        </w:rPr>
        <w:t>持续</w:t>
      </w:r>
      <w:r>
        <w:rPr>
          <w:rFonts w:hint="eastAsia" w:ascii="仿宋" w:hAnsi="仿宋" w:eastAsia="仿宋" w:cs="仿宋"/>
          <w:b/>
          <w:sz w:val="32"/>
          <w:szCs w:val="32"/>
          <w:u w:val="none" w:color="auto"/>
          <w:lang w:eastAsia="zh-CN"/>
        </w:rPr>
        <w:t>开展</w:t>
      </w:r>
      <w:r>
        <w:rPr>
          <w:rFonts w:hint="eastAsia" w:ascii="仿宋" w:hAnsi="仿宋" w:eastAsia="仿宋" w:cs="仿宋"/>
          <w:b/>
          <w:sz w:val="32"/>
          <w:szCs w:val="32"/>
          <w:u w:val="none" w:color="auto"/>
        </w:rPr>
        <w:t>劳动和技能竞赛。</w:t>
      </w:r>
      <w:r>
        <w:rPr>
          <w:rFonts w:hint="eastAsia" w:ascii="仿宋" w:hAnsi="仿宋" w:eastAsia="仿宋" w:cs="仿宋"/>
          <w:b w:val="0"/>
          <w:bCs/>
          <w:sz w:val="32"/>
          <w:szCs w:val="32"/>
          <w:u w:val="none" w:color="auto"/>
        </w:rPr>
        <w:t>围绕“风光氢储车”、零碳产业等重点项目、重大工程，</w:t>
      </w:r>
      <w:r>
        <w:rPr>
          <w:rFonts w:hint="eastAsia" w:ascii="仿宋" w:hAnsi="仿宋" w:eastAsia="仿宋" w:cs="仿宋"/>
          <w:bCs/>
          <w:sz w:val="32"/>
          <w:szCs w:val="32"/>
          <w:u w:val="none" w:color="auto"/>
        </w:rPr>
        <w:t>以“当好主人翁、建功新时代”为主题，开展</w:t>
      </w:r>
      <w:r>
        <w:rPr>
          <w:rFonts w:hint="eastAsia" w:ascii="仿宋" w:hAnsi="仿宋" w:eastAsia="仿宋" w:cs="仿宋"/>
          <w:bCs/>
          <w:sz w:val="32"/>
          <w:szCs w:val="32"/>
          <w:u w:val="none" w:color="auto"/>
          <w:lang w:val="en-US" w:eastAsia="zh-CN"/>
        </w:rPr>
        <w:t>了全市</w:t>
      </w:r>
      <w:r>
        <w:rPr>
          <w:rFonts w:hint="eastAsia" w:ascii="仿宋" w:hAnsi="仿宋" w:eastAsia="仿宋" w:cs="仿宋"/>
          <w:bCs/>
          <w:sz w:val="32"/>
          <w:szCs w:val="32"/>
          <w:u w:val="none" w:color="auto"/>
          <w:lang w:eastAsia="zh-CN"/>
        </w:rPr>
        <w:t>电力、</w:t>
      </w:r>
      <w:r>
        <w:rPr>
          <w:rFonts w:hint="eastAsia" w:ascii="仿宋" w:hAnsi="仿宋" w:eastAsia="仿宋" w:cs="仿宋"/>
          <w:bCs/>
          <w:sz w:val="32"/>
          <w:szCs w:val="32"/>
          <w:u w:val="none" w:color="auto"/>
          <w:lang w:val="en-US" w:eastAsia="zh-CN"/>
        </w:rPr>
        <w:t>税务、</w:t>
      </w:r>
      <w:r>
        <w:rPr>
          <w:rFonts w:hint="eastAsia" w:ascii="仿宋" w:hAnsi="仿宋" w:eastAsia="仿宋" w:cs="仿宋"/>
          <w:bCs/>
          <w:sz w:val="32"/>
          <w:szCs w:val="32"/>
          <w:u w:val="none" w:color="auto"/>
          <w:lang w:eastAsia="zh-CN"/>
        </w:rPr>
        <w:t>消防、煤炭等行业</w:t>
      </w:r>
      <w:r>
        <w:rPr>
          <w:rFonts w:hint="eastAsia" w:ascii="仿宋" w:hAnsi="仿宋" w:eastAsia="仿宋" w:cs="仿宋"/>
          <w:bCs/>
          <w:sz w:val="32"/>
          <w:szCs w:val="32"/>
          <w:u w:val="none" w:color="auto"/>
        </w:rPr>
        <w:t>劳动和技能竞赛，</w:t>
      </w:r>
      <w:r>
        <w:rPr>
          <w:rFonts w:hint="eastAsia" w:ascii="仿宋" w:hAnsi="仿宋" w:eastAsia="仿宋" w:cs="仿宋"/>
          <w:bCs/>
          <w:sz w:val="32"/>
          <w:szCs w:val="32"/>
          <w:u w:val="none" w:color="auto"/>
          <w:lang w:eastAsia="zh-CN"/>
        </w:rPr>
        <w:t>涉及</w:t>
      </w:r>
      <w:r>
        <w:rPr>
          <w:rFonts w:hint="eastAsia" w:ascii="仿宋" w:hAnsi="仿宋" w:eastAsia="仿宋" w:cs="仿宋"/>
          <w:bCs/>
          <w:sz w:val="32"/>
          <w:szCs w:val="32"/>
          <w:u w:val="none" w:color="auto"/>
          <w:lang w:val="en-US" w:eastAsia="zh-CN"/>
        </w:rPr>
        <w:t>20个工种，</w:t>
      </w:r>
      <w:r>
        <w:rPr>
          <w:rFonts w:hint="eastAsia" w:ascii="仿宋" w:hAnsi="仿宋" w:eastAsia="仿宋" w:cs="仿宋"/>
          <w:bCs/>
          <w:sz w:val="32"/>
          <w:szCs w:val="32"/>
          <w:u w:val="none" w:color="auto"/>
          <w:lang w:eastAsia="zh-CN"/>
        </w:rPr>
        <w:t>近</w:t>
      </w:r>
      <w:r>
        <w:rPr>
          <w:rFonts w:hint="eastAsia" w:ascii="仿宋" w:hAnsi="仿宋" w:eastAsia="仿宋" w:cs="仿宋"/>
          <w:bCs/>
          <w:sz w:val="32"/>
          <w:szCs w:val="32"/>
          <w:u w:val="none" w:color="auto"/>
          <w:lang w:val="en-US" w:eastAsia="zh-CN"/>
        </w:rPr>
        <w:t>60个单位参赛</w:t>
      </w:r>
      <w:r>
        <w:rPr>
          <w:rFonts w:hint="eastAsia" w:ascii="仿宋" w:hAnsi="仿宋" w:eastAsia="仿宋" w:cs="仿宋"/>
          <w:bCs/>
          <w:sz w:val="32"/>
          <w:szCs w:val="32"/>
          <w:u w:val="none" w:color="auto"/>
        </w:rPr>
        <w:t>，引领带动全市岗位练兵、技能比赛等活动</w:t>
      </w:r>
      <w:r>
        <w:rPr>
          <w:rFonts w:hint="eastAsia" w:ascii="仿宋" w:hAnsi="仿宋" w:eastAsia="仿宋" w:cs="仿宋"/>
          <w:bCs/>
          <w:sz w:val="32"/>
          <w:szCs w:val="32"/>
          <w:u w:val="none" w:color="auto"/>
          <w:lang w:eastAsia="zh-CN"/>
        </w:rPr>
        <w:t>参加</w:t>
      </w:r>
      <w:r>
        <w:rPr>
          <w:rFonts w:hint="eastAsia" w:ascii="仿宋" w:hAnsi="仿宋" w:eastAsia="仿宋" w:cs="仿宋"/>
          <w:bCs/>
          <w:sz w:val="32"/>
          <w:szCs w:val="32"/>
          <w:u w:val="none" w:color="auto"/>
        </w:rPr>
        <w:t>职工达到</w:t>
      </w:r>
      <w:r>
        <w:rPr>
          <w:rFonts w:hint="eastAsia" w:ascii="仿宋" w:hAnsi="仿宋" w:eastAsia="仿宋" w:cs="仿宋"/>
          <w:bCs/>
          <w:sz w:val="32"/>
          <w:szCs w:val="32"/>
          <w:u w:val="none" w:color="auto"/>
          <w:lang w:val="en-US" w:eastAsia="zh-CN"/>
        </w:rPr>
        <w:t>2万</w:t>
      </w:r>
      <w:r>
        <w:rPr>
          <w:rFonts w:hint="eastAsia" w:ascii="仿宋" w:hAnsi="仿宋" w:eastAsia="仿宋" w:cs="仿宋"/>
          <w:bCs/>
          <w:sz w:val="32"/>
          <w:szCs w:val="32"/>
          <w:u w:val="none" w:color="auto"/>
        </w:rPr>
        <w:t>人次以上。</w:t>
      </w:r>
      <w:r>
        <w:rPr>
          <w:rFonts w:hint="eastAsia" w:ascii="仿宋" w:hAnsi="仿宋" w:eastAsia="仿宋" w:cs="仿宋"/>
          <w:bCs/>
          <w:sz w:val="32"/>
          <w:szCs w:val="32"/>
          <w:u w:val="none" w:color="auto"/>
          <w:lang w:val="en-US" w:eastAsia="zh-CN"/>
        </w:rPr>
        <w:t>成功</w:t>
      </w:r>
      <w:r>
        <w:rPr>
          <w:rFonts w:hint="eastAsia" w:ascii="仿宋" w:hAnsi="仿宋" w:eastAsia="仿宋" w:cs="仿宋"/>
          <w:bCs/>
          <w:sz w:val="32"/>
          <w:szCs w:val="32"/>
          <w:u w:val="none" w:color="auto"/>
        </w:rPr>
        <w:t>承办自治区矿山救护工、瓦斯检查工职业技能比赛，进一步提高企业劳动保护监督检查应变能力</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lang w:val="en-US" w:eastAsia="zh-CN"/>
        </w:rPr>
        <w:t>同时</w:t>
      </w:r>
      <w:r>
        <w:rPr>
          <w:rFonts w:hint="eastAsia" w:ascii="仿宋" w:hAnsi="仿宋" w:eastAsia="仿宋" w:cs="仿宋"/>
          <w:color w:val="000000"/>
          <w:sz w:val="32"/>
          <w:szCs w:val="32"/>
          <w:u w:val="none" w:color="auto"/>
          <w:lang w:eastAsia="zh-CN"/>
        </w:rPr>
        <w:t>以</w:t>
      </w:r>
      <w:r>
        <w:rPr>
          <w:rFonts w:hint="eastAsia" w:ascii="仿宋" w:hAnsi="仿宋" w:eastAsia="仿宋" w:cs="仿宋"/>
          <w:color w:val="000000"/>
          <w:sz w:val="32"/>
          <w:szCs w:val="32"/>
          <w:u w:val="none" w:color="auto"/>
        </w:rPr>
        <w:t>推进“安康杯”</w:t>
      </w:r>
      <w:r>
        <w:rPr>
          <w:rFonts w:hint="eastAsia" w:ascii="仿宋" w:hAnsi="仿宋" w:eastAsia="仿宋" w:cs="仿宋"/>
          <w:color w:val="000000"/>
          <w:sz w:val="32"/>
          <w:szCs w:val="32"/>
          <w:u w:val="none" w:color="auto"/>
          <w:lang w:val="en-US" w:eastAsia="zh-CN"/>
        </w:rPr>
        <w:t>竞赛</w:t>
      </w:r>
      <w:r>
        <w:rPr>
          <w:rFonts w:hint="eastAsia" w:ascii="仿宋" w:hAnsi="仿宋" w:eastAsia="仿宋" w:cs="仿宋"/>
          <w:color w:val="000000"/>
          <w:sz w:val="32"/>
          <w:szCs w:val="32"/>
          <w:u w:val="none" w:color="auto"/>
        </w:rPr>
        <w:t>活动为抓手，</w:t>
      </w:r>
      <w:r>
        <w:rPr>
          <w:rFonts w:hint="eastAsia" w:ascii="仿宋" w:hAnsi="仿宋" w:eastAsia="仿宋" w:cs="仿宋"/>
          <w:color w:val="000000"/>
          <w:sz w:val="32"/>
          <w:szCs w:val="32"/>
          <w:u w:val="none" w:color="auto"/>
          <w:lang w:val="en-US" w:eastAsia="zh-CN"/>
        </w:rPr>
        <w:t>着力</w:t>
      </w:r>
      <w:r>
        <w:rPr>
          <w:rFonts w:hint="eastAsia" w:ascii="仿宋" w:hAnsi="仿宋" w:eastAsia="仿宋" w:cs="仿宋"/>
          <w:color w:val="000000"/>
          <w:sz w:val="32"/>
          <w:szCs w:val="32"/>
          <w:u w:val="none" w:color="auto"/>
        </w:rPr>
        <w:t>做好工会劳动保护工作</w:t>
      </w:r>
      <w:r>
        <w:rPr>
          <w:rFonts w:hint="eastAsia" w:ascii="仿宋" w:hAnsi="仿宋" w:eastAsia="仿宋" w:cs="仿宋"/>
          <w:color w:val="000000"/>
          <w:sz w:val="32"/>
          <w:szCs w:val="32"/>
          <w:u w:val="none" w:color="auto"/>
          <w:lang w:eastAsia="zh-CN"/>
        </w:rPr>
        <w:t>。</w:t>
      </w:r>
    </w:p>
    <w:p w14:paraId="61B46513">
      <w:pPr>
        <w:keepNext w:val="0"/>
        <w:keepLines w:val="0"/>
        <w:pageBreakBefore w:val="0"/>
        <w:widowControl w:val="0"/>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rPr>
      </w:pPr>
      <w:r>
        <w:rPr>
          <w:rFonts w:hint="eastAsia" w:ascii="仿宋" w:hAnsi="仿宋" w:eastAsia="仿宋" w:cs="仿宋"/>
          <w:b/>
          <w:bCs w:val="0"/>
          <w:sz w:val="32"/>
          <w:szCs w:val="32"/>
          <w:u w:val="none" w:color="auto"/>
          <w:lang w:val="en-US" w:eastAsia="zh-CN"/>
        </w:rPr>
        <w:t>3.不断深化群众性创新活动。</w:t>
      </w:r>
      <w:r>
        <w:rPr>
          <w:rFonts w:hint="eastAsia" w:ascii="仿宋" w:hAnsi="仿宋" w:eastAsia="仿宋" w:cs="仿宋"/>
          <w:bCs/>
          <w:sz w:val="32"/>
          <w:szCs w:val="32"/>
          <w:u w:val="none" w:color="auto"/>
          <w:lang w:val="en-US" w:eastAsia="zh-CN"/>
        </w:rPr>
        <w:t>广泛深入持久开展“五小”（小发明、小创造、小革新、小设计、小建议）、合理化建议以及科技创新成果、先进操作法、发明专利认定等群众性创新活动，点燃一线职工“敢首创”热情，职工创新创造愈加焕发出蓬勃活力。 2023年</w:t>
      </w:r>
      <w:r>
        <w:rPr>
          <w:rFonts w:hint="eastAsia" w:ascii="仿宋" w:hAnsi="仿宋" w:eastAsia="仿宋" w:cs="仿宋"/>
          <w:color w:val="000000"/>
          <w:sz w:val="32"/>
          <w:szCs w:val="32"/>
          <w:u w:val="none" w:color="auto"/>
          <w:lang w:val="en-US" w:eastAsia="zh-CN" w:bidi="ar"/>
        </w:rPr>
        <w:t>推荐自治区创新工作室4家，自治区创新工作室联盟1家，自治区十大创新团队5个，自治区职工十大工创新专利4项；</w:t>
      </w:r>
      <w:r>
        <w:rPr>
          <w:rFonts w:hint="eastAsia" w:ascii="仿宋" w:hAnsi="仿宋" w:eastAsia="仿宋" w:cs="仿宋"/>
          <w:color w:val="000000"/>
          <w:sz w:val="32"/>
          <w:szCs w:val="32"/>
          <w:u w:val="none" w:color="auto"/>
          <w:lang w:val="en" w:eastAsia="zh-CN"/>
        </w:rPr>
        <w:t>评选</w:t>
      </w:r>
      <w:r>
        <w:rPr>
          <w:rFonts w:hint="eastAsia" w:ascii="仿宋" w:hAnsi="仿宋" w:eastAsia="仿宋" w:cs="仿宋"/>
          <w:color w:val="000000"/>
          <w:sz w:val="32"/>
          <w:szCs w:val="32"/>
          <w:u w:val="none" w:color="auto"/>
          <w:lang w:val="en-US" w:eastAsia="zh-CN"/>
        </w:rPr>
        <w:t>市级职工（劳模）创新工作室</w:t>
      </w:r>
      <w:r>
        <w:rPr>
          <w:rFonts w:hint="eastAsia" w:ascii="仿宋" w:hAnsi="仿宋" w:eastAsia="仿宋" w:cs="仿宋"/>
          <w:bCs/>
          <w:sz w:val="32"/>
          <w:szCs w:val="32"/>
          <w:u w:val="none" w:color="auto"/>
          <w:lang w:val="en-US" w:eastAsia="zh-CN"/>
        </w:rPr>
        <w:t xml:space="preserve"> </w:t>
      </w:r>
      <w:r>
        <w:rPr>
          <w:rFonts w:hint="eastAsia" w:ascii="仿宋" w:hAnsi="仿宋" w:eastAsia="仿宋" w:cs="仿宋"/>
          <w:color w:val="000000"/>
          <w:sz w:val="32"/>
          <w:szCs w:val="32"/>
          <w:u w:val="none" w:color="auto"/>
          <w:lang w:val="en-US" w:eastAsia="zh-CN"/>
        </w:rPr>
        <w:t>8家；荣获自治区级优秀创新成果10项，2名职工获评“北疆工匠”。</w:t>
      </w:r>
    </w:p>
    <w:p w14:paraId="0C89C202">
      <w:pPr>
        <w:keepNext w:val="0"/>
        <w:keepLines w:val="0"/>
        <w:pageBreakBefore w:val="0"/>
        <w:widowControl w:val="0"/>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kern w:val="2"/>
          <w:sz w:val="32"/>
          <w:szCs w:val="32"/>
          <w:u w:val="none" w:color="auto"/>
          <w:lang w:val="en-US" w:eastAsia="zh-CN" w:bidi="ar-SA"/>
        </w:rPr>
      </w:pPr>
      <w:r>
        <w:rPr>
          <w:rFonts w:hint="eastAsia" w:ascii="仿宋" w:hAnsi="仿宋" w:eastAsia="仿宋" w:cs="仿宋"/>
          <w:b/>
          <w:bCs w:val="0"/>
          <w:sz w:val="32"/>
          <w:szCs w:val="32"/>
          <w:u w:val="none" w:color="auto"/>
          <w:lang w:val="en-US" w:eastAsia="zh-CN"/>
        </w:rPr>
        <w:t>4.</w:t>
      </w:r>
      <w:r>
        <w:rPr>
          <w:rFonts w:hint="eastAsia" w:ascii="仿宋" w:hAnsi="仿宋" w:eastAsia="仿宋" w:cs="仿宋"/>
          <w:b/>
          <w:bCs w:val="0"/>
          <w:sz w:val="32"/>
          <w:szCs w:val="32"/>
          <w:u w:val="none" w:color="auto"/>
        </w:rPr>
        <w:t>大力弘扬</w:t>
      </w:r>
      <w:r>
        <w:rPr>
          <w:rFonts w:hint="eastAsia" w:ascii="仿宋" w:hAnsi="仿宋" w:eastAsia="仿宋" w:cs="仿宋"/>
          <w:b/>
          <w:bCs w:val="0"/>
          <w:sz w:val="32"/>
          <w:szCs w:val="32"/>
          <w:u w:val="none" w:color="auto"/>
          <w:lang w:eastAsia="zh-CN"/>
        </w:rPr>
        <w:t>劳模精神</w:t>
      </w:r>
      <w:r>
        <w:rPr>
          <w:rFonts w:hint="eastAsia" w:ascii="仿宋" w:hAnsi="仿宋" w:eastAsia="仿宋" w:cs="仿宋"/>
          <w:b/>
          <w:bCs w:val="0"/>
          <w:sz w:val="32"/>
          <w:szCs w:val="32"/>
          <w:u w:val="none" w:color="auto"/>
        </w:rPr>
        <w:t>。</w:t>
      </w:r>
      <w:r>
        <w:rPr>
          <w:rFonts w:hint="eastAsia" w:ascii="仿宋" w:hAnsi="仿宋" w:eastAsia="仿宋" w:cs="仿宋"/>
          <w:bCs/>
          <w:sz w:val="32"/>
          <w:szCs w:val="32"/>
          <w:u w:val="none" w:color="auto"/>
          <w:lang w:eastAsia="zh-CN"/>
        </w:rPr>
        <w:t>扎实做好</w:t>
      </w:r>
      <w:r>
        <w:rPr>
          <w:rFonts w:hint="eastAsia" w:ascii="仿宋" w:hAnsi="仿宋" w:eastAsia="仿宋" w:cs="仿宋"/>
          <w:bCs/>
          <w:sz w:val="32"/>
          <w:szCs w:val="32"/>
          <w:u w:val="none" w:color="auto"/>
        </w:rPr>
        <w:t>全国、自治区</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全市五一劳动奖、工人先锋号</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五一巾帼标兵（标兵岗）等</w:t>
      </w:r>
      <w:r>
        <w:rPr>
          <w:rFonts w:hint="eastAsia" w:ascii="仿宋" w:hAnsi="仿宋" w:eastAsia="仿宋" w:cs="仿宋"/>
          <w:bCs/>
          <w:sz w:val="32"/>
          <w:szCs w:val="32"/>
          <w:u w:val="none" w:color="auto"/>
          <w:lang w:eastAsia="zh-CN"/>
        </w:rPr>
        <w:t>的</w:t>
      </w:r>
      <w:r>
        <w:rPr>
          <w:rFonts w:hint="eastAsia" w:ascii="仿宋" w:hAnsi="仿宋" w:eastAsia="仿宋" w:cs="仿宋"/>
          <w:bCs/>
          <w:sz w:val="32"/>
          <w:szCs w:val="32"/>
          <w:u w:val="none" w:color="auto"/>
        </w:rPr>
        <w:t>评选推荐工作</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lang w:val="en-US" w:eastAsia="zh-CN"/>
        </w:rPr>
        <w:t>全市有1名个人、2个集体以及16名个人、4个集体分别获得国家级和自治区级荣誉，并组织评选全市五一劳动奖章69个、五一劳动奖状15个、工人先锋号30个，“鄂尔多斯工匠”10名。同时</w:t>
      </w:r>
      <w:r>
        <w:rPr>
          <w:rFonts w:hint="eastAsia" w:ascii="仿宋" w:hAnsi="仿宋" w:eastAsia="仿宋" w:cs="仿宋"/>
          <w:bCs/>
          <w:sz w:val="32"/>
          <w:szCs w:val="32"/>
          <w:u w:val="none" w:color="auto"/>
        </w:rPr>
        <w:t>全面开展</w:t>
      </w:r>
      <w:r>
        <w:rPr>
          <w:rFonts w:hint="eastAsia" w:ascii="仿宋" w:hAnsi="仿宋" w:eastAsia="仿宋" w:cs="仿宋"/>
          <w:bCs/>
          <w:sz w:val="32"/>
          <w:szCs w:val="32"/>
          <w:u w:val="none" w:color="auto"/>
          <w:lang w:eastAsia="zh-CN"/>
        </w:rPr>
        <w:t>了</w:t>
      </w:r>
      <w:r>
        <w:rPr>
          <w:rFonts w:hint="eastAsia" w:ascii="仿宋" w:hAnsi="仿宋" w:eastAsia="仿宋" w:cs="仿宋"/>
          <w:bCs/>
          <w:sz w:val="32"/>
          <w:szCs w:val="32"/>
          <w:u w:val="none" w:color="auto"/>
        </w:rPr>
        <w:t>职工</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劳模</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休疗养活动</w:t>
      </w:r>
      <w:r>
        <w:rPr>
          <w:rFonts w:hint="eastAsia" w:ascii="仿宋" w:hAnsi="仿宋" w:eastAsia="仿宋" w:cs="仿宋"/>
          <w:bCs/>
          <w:sz w:val="32"/>
          <w:szCs w:val="32"/>
          <w:u w:val="none" w:color="auto"/>
          <w:lang w:eastAsia="zh-CN"/>
        </w:rPr>
        <w:t>，</w:t>
      </w:r>
      <w:r>
        <w:rPr>
          <w:rFonts w:hint="eastAsia" w:ascii="仿宋" w:hAnsi="仿宋" w:eastAsia="仿宋" w:cs="仿宋"/>
          <w:sz w:val="32"/>
          <w:szCs w:val="32"/>
          <w:u w:val="none" w:color="auto"/>
          <w:lang w:val="en-US" w:eastAsia="zh-CN"/>
        </w:rPr>
        <w:t>年内组织实施</w:t>
      </w:r>
      <w:r>
        <w:rPr>
          <w:rFonts w:hint="eastAsia" w:ascii="仿宋" w:hAnsi="仿宋" w:eastAsia="仿宋" w:cs="仿宋"/>
          <w:bCs/>
          <w:sz w:val="32"/>
          <w:szCs w:val="32"/>
          <w:u w:val="none" w:color="auto"/>
        </w:rPr>
        <w:t>职工</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劳模</w:t>
      </w:r>
      <w:r>
        <w:rPr>
          <w:rFonts w:hint="eastAsia" w:ascii="仿宋" w:hAnsi="仿宋" w:eastAsia="仿宋" w:cs="仿宋"/>
          <w:bCs/>
          <w:sz w:val="32"/>
          <w:szCs w:val="32"/>
          <w:u w:val="none" w:color="auto"/>
          <w:lang w:eastAsia="zh-CN"/>
        </w:rPr>
        <w:t>）</w:t>
      </w:r>
      <w:r>
        <w:rPr>
          <w:rFonts w:hint="eastAsia" w:ascii="仿宋" w:hAnsi="仿宋" w:eastAsia="仿宋" w:cs="仿宋"/>
          <w:sz w:val="32"/>
          <w:szCs w:val="32"/>
          <w:u w:val="none" w:color="auto"/>
          <w:lang w:val="en-US" w:eastAsia="zh-CN"/>
        </w:rPr>
        <w:t>休疗养活动人数近1万人次</w:t>
      </w:r>
      <w:r>
        <w:rPr>
          <w:rFonts w:hint="eastAsia" w:ascii="仿宋" w:hAnsi="仿宋" w:eastAsia="仿宋" w:cs="仿宋"/>
          <w:bCs/>
          <w:sz w:val="32"/>
          <w:szCs w:val="32"/>
          <w:u w:val="none" w:color="auto"/>
          <w:lang w:val="en-US" w:eastAsia="zh-CN"/>
        </w:rPr>
        <w:t>。在春节、植树节、劳动节等重要节日</w:t>
      </w:r>
      <w:r>
        <w:rPr>
          <w:rFonts w:hint="eastAsia" w:ascii="仿宋" w:hAnsi="仿宋" w:eastAsia="仿宋" w:cs="仿宋"/>
          <w:color w:val="000000"/>
          <w:kern w:val="2"/>
          <w:sz w:val="32"/>
          <w:szCs w:val="32"/>
          <w:u w:val="none" w:color="auto"/>
          <w:lang w:val="en-US" w:eastAsia="zh-CN" w:bidi="ar-SA"/>
        </w:rPr>
        <w:t>期间，组织开展劳模茶话会、劳模义务植树、劳模宣讲等活动，广泛弘扬劳模精神、劳动精神、工匠精神。</w:t>
      </w:r>
    </w:p>
    <w:p w14:paraId="0EA5D566">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color w:val="auto"/>
          <w:sz w:val="32"/>
          <w:szCs w:val="32"/>
          <w:u w:val="none" w:color="auto"/>
        </w:rPr>
      </w:pPr>
      <w:r>
        <w:rPr>
          <w:rFonts w:hint="eastAsia" w:ascii="仿宋" w:hAnsi="仿宋" w:eastAsia="仿宋" w:cs="仿宋"/>
          <w:color w:val="auto"/>
          <w:sz w:val="32"/>
          <w:szCs w:val="32"/>
          <w:u w:val="none" w:color="auto"/>
          <w:lang w:eastAsia="zh-CN"/>
        </w:rPr>
        <w:t>（四）精准有力开展</w:t>
      </w:r>
      <w:r>
        <w:rPr>
          <w:rFonts w:hint="eastAsia" w:ascii="仿宋" w:hAnsi="仿宋" w:eastAsia="仿宋" w:cs="仿宋"/>
          <w:color w:val="auto"/>
          <w:sz w:val="32"/>
          <w:szCs w:val="32"/>
          <w:u w:val="none" w:color="auto"/>
        </w:rPr>
        <w:t>职工维权服务</w:t>
      </w:r>
    </w:p>
    <w:p w14:paraId="739F5736">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sz w:val="32"/>
          <w:szCs w:val="32"/>
          <w:u w:val="none" w:color="auto"/>
          <w:lang w:eastAsia="zh-CN"/>
        </w:rPr>
      </w:pPr>
      <w:r>
        <w:rPr>
          <w:rFonts w:hint="eastAsia" w:ascii="仿宋" w:hAnsi="仿宋" w:eastAsia="仿宋" w:cs="仿宋"/>
          <w:b/>
          <w:color w:val="auto"/>
          <w:sz w:val="32"/>
          <w:szCs w:val="32"/>
          <w:u w:val="none" w:color="auto"/>
          <w:lang w:val="en-US" w:eastAsia="zh-CN"/>
        </w:rPr>
        <w:t>1.加大</w:t>
      </w:r>
      <w:r>
        <w:rPr>
          <w:rFonts w:hint="eastAsia" w:ascii="仿宋" w:hAnsi="仿宋" w:eastAsia="仿宋" w:cs="仿宋"/>
          <w:b/>
          <w:sz w:val="32"/>
          <w:szCs w:val="32"/>
          <w:u w:val="none" w:color="auto"/>
        </w:rPr>
        <w:t>职工服务保障</w:t>
      </w:r>
      <w:r>
        <w:rPr>
          <w:rFonts w:hint="eastAsia" w:ascii="仿宋" w:hAnsi="仿宋" w:eastAsia="仿宋" w:cs="仿宋"/>
          <w:b/>
          <w:color w:val="auto"/>
          <w:sz w:val="32"/>
          <w:szCs w:val="32"/>
          <w:u w:val="none" w:color="auto"/>
        </w:rPr>
        <w:t>。</w:t>
      </w:r>
      <w:r>
        <w:rPr>
          <w:rFonts w:hint="eastAsia" w:ascii="仿宋" w:hAnsi="仿宋" w:eastAsia="仿宋" w:cs="仿宋"/>
          <w:color w:val="000000"/>
          <w:kern w:val="2"/>
          <w:sz w:val="32"/>
          <w:szCs w:val="32"/>
          <w:u w:val="none" w:color="auto"/>
          <w:lang w:val="en-US" w:eastAsia="zh-CN" w:bidi="ar-SA"/>
        </w:rPr>
        <w:t>常态化开展工会“两节”送温暖活动，</w:t>
      </w:r>
      <w:r>
        <w:rPr>
          <w:rFonts w:hint="eastAsia" w:ascii="仿宋" w:hAnsi="仿宋" w:eastAsia="仿宋" w:cs="仿宋"/>
          <w:kern w:val="2"/>
          <w:sz w:val="32"/>
          <w:szCs w:val="32"/>
          <w:u w:val="none" w:color="auto"/>
          <w:lang w:val="en-US" w:eastAsia="zh-CN" w:bidi="ar-SA"/>
        </w:rPr>
        <w:t>全市各级工会走访慰问企业192家，筹集慰问款物总额425.5万元，慰问职工19371人次</w:t>
      </w:r>
      <w:r>
        <w:rPr>
          <w:rFonts w:hint="eastAsia" w:ascii="仿宋" w:hAnsi="仿宋" w:eastAsia="仿宋" w:cs="仿宋"/>
          <w:color w:val="000000"/>
          <w:kern w:val="2"/>
          <w:sz w:val="32"/>
          <w:szCs w:val="32"/>
          <w:u w:val="none" w:color="auto"/>
          <w:lang w:val="en-US" w:eastAsia="zh-CN" w:bidi="ar-SA"/>
        </w:rPr>
        <w:t>。</w:t>
      </w:r>
      <w:r>
        <w:rPr>
          <w:rFonts w:hint="eastAsia" w:ascii="仿宋" w:hAnsi="仿宋" w:eastAsia="仿宋" w:cs="仿宋"/>
          <w:kern w:val="2"/>
          <w:sz w:val="32"/>
          <w:szCs w:val="32"/>
          <w:u w:val="none" w:color="auto"/>
          <w:lang w:val="en-US" w:eastAsia="zh-CN" w:bidi="ar-SA"/>
        </w:rPr>
        <w:t>开展困难职工生活救助、助学救助、医疗救助和特殊职工群体关爱帮扶，涉及困难职工195人，60岁以上环卫工人2562人，申报总资金400.64万元。</w:t>
      </w:r>
      <w:r>
        <w:rPr>
          <w:rFonts w:hint="eastAsia" w:ascii="仿宋" w:hAnsi="仿宋" w:eastAsia="仿宋" w:cs="仿宋"/>
          <w:b w:val="0"/>
          <w:bCs w:val="0"/>
          <w:i w:val="0"/>
          <w:iCs w:val="0"/>
          <w:caps w:val="0"/>
          <w:color w:val="000000"/>
          <w:spacing w:val="15"/>
          <w:sz w:val="32"/>
          <w:szCs w:val="32"/>
          <w:u w:val="none" w:color="auto"/>
          <w:shd w:val="clear" w:color="auto" w:fill="FFFFFF"/>
          <w:lang w:eastAsia="zh-CN"/>
        </w:rPr>
        <w:t>举办</w:t>
      </w:r>
      <w:r>
        <w:rPr>
          <w:rFonts w:hint="eastAsia" w:ascii="仿宋" w:hAnsi="仿宋" w:eastAsia="仿宋" w:cs="仿宋"/>
          <w:b w:val="0"/>
          <w:bCs w:val="0"/>
          <w:i w:val="0"/>
          <w:iCs w:val="0"/>
          <w:caps w:val="0"/>
          <w:color w:val="000000"/>
          <w:spacing w:val="0"/>
          <w:sz w:val="32"/>
          <w:szCs w:val="32"/>
          <w:u w:val="none" w:color="auto"/>
          <w:shd w:val="clear" w:color="auto" w:fill="FFFFFF"/>
        </w:rPr>
        <w:t>“春风送真情·援助暖民心”2023年市总工会春风行动暨就业援助月专项服务</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直播带岗线上和线下专</w:t>
      </w:r>
      <w:r>
        <w:rPr>
          <w:rFonts w:hint="eastAsia" w:ascii="仿宋" w:hAnsi="仿宋" w:eastAsia="仿宋" w:cs="仿宋"/>
          <w:b w:val="0"/>
          <w:bCs w:val="0"/>
          <w:i w:val="0"/>
          <w:iCs w:val="0"/>
          <w:caps w:val="0"/>
          <w:color w:val="000000"/>
          <w:spacing w:val="30"/>
          <w:sz w:val="32"/>
          <w:szCs w:val="32"/>
          <w:u w:val="none" w:color="auto"/>
          <w:shd w:val="clear" w:color="auto" w:fill="FFFFFF"/>
        </w:rPr>
        <w:t>场招聘</w:t>
      </w:r>
      <w:r>
        <w:rPr>
          <w:rFonts w:hint="eastAsia" w:ascii="仿宋" w:hAnsi="仿宋" w:eastAsia="仿宋" w:cs="仿宋"/>
          <w:b w:val="0"/>
          <w:bCs w:val="0"/>
          <w:i w:val="0"/>
          <w:iCs w:val="0"/>
          <w:caps w:val="0"/>
          <w:color w:val="000000"/>
          <w:spacing w:val="30"/>
          <w:sz w:val="32"/>
          <w:szCs w:val="32"/>
          <w:u w:val="none" w:color="auto"/>
          <w:shd w:val="clear" w:color="auto" w:fill="FFFFFF"/>
          <w:lang w:eastAsia="zh-CN"/>
        </w:rPr>
        <w:t>活动，</w:t>
      </w:r>
      <w:r>
        <w:rPr>
          <w:rFonts w:hint="eastAsia" w:ascii="仿宋" w:hAnsi="仿宋" w:eastAsia="仿宋" w:cs="仿宋"/>
          <w:b w:val="0"/>
          <w:bCs w:val="0"/>
          <w:i w:val="0"/>
          <w:iCs w:val="0"/>
          <w:caps w:val="0"/>
          <w:color w:val="000000"/>
          <w:spacing w:val="0"/>
          <w:sz w:val="32"/>
          <w:szCs w:val="32"/>
          <w:u w:val="none" w:color="auto"/>
          <w:shd w:val="clear" w:color="auto" w:fill="FFFFFF"/>
        </w:rPr>
        <w:t>在线累计观看人数达32.8万人次</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；线下专场招聘会</w:t>
      </w:r>
      <w:r>
        <w:rPr>
          <w:rFonts w:hint="eastAsia" w:ascii="仿宋" w:hAnsi="仿宋" w:eastAsia="仿宋" w:cs="仿宋"/>
          <w:b w:val="0"/>
          <w:bCs w:val="0"/>
          <w:i w:val="0"/>
          <w:iCs w:val="0"/>
          <w:caps w:val="0"/>
          <w:color w:val="000000"/>
          <w:spacing w:val="15"/>
          <w:sz w:val="32"/>
          <w:szCs w:val="32"/>
          <w:u w:val="none" w:color="auto"/>
          <w:shd w:val="clear" w:color="auto" w:fill="FFFFFF"/>
          <w:lang w:eastAsia="zh-CN"/>
        </w:rPr>
        <w:t>，共计</w:t>
      </w:r>
      <w:r>
        <w:rPr>
          <w:rFonts w:hint="eastAsia" w:ascii="仿宋" w:hAnsi="仿宋" w:eastAsia="仿宋" w:cs="仿宋"/>
          <w:i w:val="0"/>
          <w:iCs w:val="0"/>
          <w:color w:val="000000"/>
          <w:kern w:val="0"/>
          <w:sz w:val="32"/>
          <w:szCs w:val="32"/>
          <w:u w:val="none" w:color="auto"/>
          <w:lang w:val="en-US" w:eastAsia="zh-CN" w:bidi="ar"/>
        </w:rPr>
        <w:t>411</w:t>
      </w:r>
      <w:r>
        <w:rPr>
          <w:rFonts w:hint="eastAsia" w:ascii="仿宋" w:hAnsi="仿宋" w:eastAsia="仿宋" w:cs="仿宋"/>
          <w:b w:val="0"/>
          <w:bCs w:val="0"/>
          <w:i w:val="0"/>
          <w:iCs w:val="0"/>
          <w:caps w:val="0"/>
          <w:color w:val="000000"/>
          <w:spacing w:val="0"/>
          <w:sz w:val="32"/>
          <w:szCs w:val="32"/>
          <w:u w:val="none" w:color="auto"/>
          <w:shd w:val="clear" w:color="auto" w:fill="FFFFFF"/>
        </w:rPr>
        <w:t>家企业</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提供</w:t>
      </w:r>
      <w:r>
        <w:rPr>
          <w:rFonts w:hint="eastAsia" w:ascii="仿宋" w:hAnsi="仿宋" w:eastAsia="仿宋" w:cs="仿宋"/>
          <w:b w:val="0"/>
          <w:bCs w:val="0"/>
          <w:i w:val="0"/>
          <w:iCs w:val="0"/>
          <w:caps w:val="0"/>
          <w:color w:val="000000"/>
          <w:spacing w:val="0"/>
          <w:sz w:val="32"/>
          <w:szCs w:val="32"/>
          <w:u w:val="none" w:color="auto"/>
          <w:shd w:val="clear" w:color="auto" w:fill="FFFFFF"/>
        </w:rPr>
        <w:t>11637个岗位，咨询应聘者3800人</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w:t>
      </w:r>
      <w:r>
        <w:rPr>
          <w:rFonts w:hint="eastAsia" w:ascii="仿宋" w:hAnsi="仿宋" w:eastAsia="仿宋" w:cs="仿宋"/>
          <w:sz w:val="32"/>
          <w:szCs w:val="32"/>
          <w:u w:val="none" w:color="auto"/>
          <w:lang w:val="en-US" w:eastAsia="zh-CN"/>
        </w:rPr>
        <w:t>打造心理疏导室，聘请两位心理辅导师常年开展线上线下心理咨询评估检测，服务职工约1.3万人。先后多次举办“关爱职工、健康同行”心理健康服务进机关、进企业、进社区、进学校活动和关爱职工健康知识讲座，参与职工760人。在全市各级工会开展提升职工生活品质试点工作，</w:t>
      </w:r>
      <w:r>
        <w:rPr>
          <w:rFonts w:hint="eastAsia" w:ascii="仿宋" w:hAnsi="仿宋" w:eastAsia="仿宋" w:cs="仿宋"/>
          <w:sz w:val="32"/>
          <w:szCs w:val="32"/>
          <w:u w:val="none" w:color="auto"/>
          <w:lang w:eastAsia="zh-CN"/>
        </w:rPr>
        <w:t>新增</w:t>
      </w:r>
      <w:r>
        <w:rPr>
          <w:rFonts w:hint="eastAsia" w:ascii="仿宋" w:hAnsi="仿宋" w:eastAsia="仿宋" w:cs="仿宋"/>
          <w:sz w:val="32"/>
          <w:szCs w:val="32"/>
          <w:u w:val="none" w:color="auto"/>
        </w:rPr>
        <w:t>赋能增效试点</w:t>
      </w:r>
      <w:r>
        <w:rPr>
          <w:rFonts w:hint="eastAsia" w:ascii="仿宋" w:hAnsi="仿宋" w:eastAsia="仿宋" w:cs="仿宋"/>
          <w:sz w:val="32"/>
          <w:szCs w:val="32"/>
          <w:u w:val="none" w:color="auto"/>
          <w:lang w:eastAsia="zh-CN"/>
        </w:rPr>
        <w:t>服务中心</w:t>
      </w:r>
      <w:r>
        <w:rPr>
          <w:rFonts w:hint="eastAsia" w:ascii="仿宋" w:hAnsi="仿宋" w:eastAsia="仿宋" w:cs="仿宋"/>
          <w:sz w:val="32"/>
          <w:szCs w:val="32"/>
          <w:u w:val="none" w:color="auto"/>
          <w:lang w:val="en-US" w:eastAsia="zh-CN"/>
        </w:rPr>
        <w:t>7家，</w:t>
      </w:r>
      <w:r>
        <w:rPr>
          <w:rFonts w:hint="eastAsia" w:ascii="仿宋" w:hAnsi="仿宋" w:eastAsia="仿宋" w:cs="仿宋"/>
          <w:sz w:val="32"/>
          <w:szCs w:val="32"/>
          <w:u w:val="none" w:color="auto"/>
          <w:lang w:eastAsia="zh-CN"/>
        </w:rPr>
        <w:t>提升生活品质试点企业</w:t>
      </w:r>
      <w:r>
        <w:rPr>
          <w:rFonts w:hint="eastAsia" w:ascii="仿宋" w:hAnsi="仿宋" w:eastAsia="仿宋" w:cs="仿宋"/>
          <w:sz w:val="32"/>
          <w:szCs w:val="32"/>
          <w:u w:val="none" w:color="auto"/>
          <w:lang w:val="en-US" w:eastAsia="zh-CN"/>
        </w:rPr>
        <w:t>10家</w:t>
      </w:r>
      <w:r>
        <w:rPr>
          <w:rFonts w:hint="eastAsia" w:ascii="仿宋" w:hAnsi="仿宋" w:eastAsia="仿宋" w:cs="仿宋"/>
          <w:sz w:val="32"/>
          <w:szCs w:val="32"/>
          <w:u w:val="none" w:color="auto"/>
        </w:rPr>
        <w:t>。</w:t>
      </w:r>
      <w:r>
        <w:rPr>
          <w:rFonts w:hint="eastAsia" w:ascii="仿宋" w:hAnsi="仿宋" w:eastAsia="仿宋" w:cs="仿宋"/>
          <w:color w:val="auto"/>
          <w:kern w:val="2"/>
          <w:sz w:val="32"/>
          <w:szCs w:val="32"/>
          <w:u w:val="none" w:color="auto"/>
        </w:rPr>
        <w:t>持久开展职工医疗互助保障行动，</w:t>
      </w:r>
      <w:r>
        <w:rPr>
          <w:rFonts w:hint="eastAsia" w:ascii="仿宋" w:hAnsi="仿宋" w:eastAsia="仿宋" w:cs="仿宋"/>
          <w:sz w:val="32"/>
          <w:szCs w:val="32"/>
          <w:u w:val="none" w:color="auto"/>
          <w:lang w:eastAsia="zh-CN"/>
        </w:rPr>
        <w:t>截至目前在职职工参互 189098人次，女职工参加女性馨康互助55489人次。在职职工申领互助金4254人次，申领金额533.8045万元，女性馨康互助申领57人次，申领金额139.</w:t>
      </w:r>
      <w:r>
        <w:rPr>
          <w:rFonts w:hint="eastAsia" w:ascii="仿宋" w:hAnsi="仿宋" w:eastAsia="仿宋" w:cs="仿宋"/>
          <w:sz w:val="32"/>
          <w:szCs w:val="32"/>
          <w:u w:val="none" w:color="auto"/>
          <w:lang w:val="en-US" w:eastAsia="zh-CN"/>
        </w:rPr>
        <w:t>6</w:t>
      </w:r>
      <w:r>
        <w:rPr>
          <w:rFonts w:hint="eastAsia" w:ascii="仿宋" w:hAnsi="仿宋" w:eastAsia="仿宋" w:cs="仿宋"/>
          <w:sz w:val="32"/>
          <w:szCs w:val="32"/>
          <w:u w:val="none" w:color="auto"/>
          <w:lang w:eastAsia="zh-CN"/>
        </w:rPr>
        <w:t>万元。举办全市职工医疗互助保障业务培训班1期，培训业务骨干200多名。</w:t>
      </w:r>
    </w:p>
    <w:p w14:paraId="0D70FA80">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2.</w:t>
      </w:r>
      <w:r>
        <w:rPr>
          <w:rFonts w:hint="eastAsia" w:ascii="仿宋" w:hAnsi="仿宋" w:eastAsia="仿宋" w:cs="仿宋"/>
          <w:b/>
          <w:sz w:val="32"/>
          <w:szCs w:val="32"/>
          <w:u w:val="none" w:color="auto"/>
        </w:rPr>
        <w:t>构建和谐劳动关系</w:t>
      </w:r>
      <w:r>
        <w:rPr>
          <w:rFonts w:hint="eastAsia" w:ascii="仿宋" w:hAnsi="仿宋" w:eastAsia="仿宋" w:cs="仿宋"/>
          <w:b/>
          <w:bCs/>
          <w:color w:val="auto"/>
          <w:sz w:val="32"/>
          <w:szCs w:val="32"/>
          <w:u w:val="none" w:color="auto"/>
          <w:lang w:val="en-US" w:eastAsia="zh-CN"/>
        </w:rPr>
        <w:t>。</w:t>
      </w:r>
      <w:r>
        <w:rPr>
          <w:rFonts w:hint="eastAsia" w:ascii="仿宋" w:hAnsi="仿宋" w:eastAsia="仿宋" w:cs="仿宋"/>
          <w:kern w:val="2"/>
          <w:sz w:val="32"/>
          <w:szCs w:val="32"/>
          <w:u w:val="none" w:color="auto"/>
          <w:lang w:val="en-US" w:eastAsia="zh-CN" w:bidi="ar-SA"/>
        </w:rPr>
        <w:t>举办集体协商“要约行动季”启动仪式，</w:t>
      </w:r>
      <w:r>
        <w:rPr>
          <w:rFonts w:hint="eastAsia" w:ascii="仿宋" w:hAnsi="仿宋" w:eastAsia="仿宋" w:cs="仿宋"/>
          <w:sz w:val="32"/>
          <w:szCs w:val="32"/>
          <w:u w:val="none" w:color="auto"/>
          <w:lang w:val="en-US" w:eastAsia="zh-CN"/>
        </w:rPr>
        <w:t>组织召开专题部署会、协调劳动关系三方会议和集体协商工作推进会，</w:t>
      </w:r>
      <w:r>
        <w:rPr>
          <w:rFonts w:hint="eastAsia" w:ascii="仿宋" w:hAnsi="仿宋" w:eastAsia="仿宋" w:cs="仿宋"/>
          <w:kern w:val="2"/>
          <w:sz w:val="32"/>
          <w:szCs w:val="32"/>
          <w:u w:val="none" w:color="auto"/>
          <w:lang w:val="en-US" w:eastAsia="zh-CN" w:bidi="ar-SA"/>
        </w:rPr>
        <w:t>举办全市集体协商指导员培训班。</w:t>
      </w:r>
      <w:r>
        <w:rPr>
          <w:rFonts w:hint="eastAsia" w:ascii="仿宋" w:hAnsi="仿宋" w:eastAsia="仿宋" w:cs="仿宋"/>
          <w:sz w:val="32"/>
          <w:szCs w:val="32"/>
          <w:u w:val="none" w:color="auto"/>
          <w:lang w:val="en-US" w:eastAsia="zh-CN"/>
        </w:rPr>
        <w:t>同时深入工业园区、建筑工地、企业开展普法宣传，发放《劳动法》、《劳动合同法》、《企业工资集体协商工作手册》等法律手册1000余份，为全市开展集体协商构建和谐稳定劳动关系营造良好氛围。2023年</w:t>
      </w:r>
      <w:r>
        <w:rPr>
          <w:rFonts w:hint="eastAsia" w:ascii="仿宋" w:hAnsi="仿宋" w:eastAsia="仿宋" w:cs="仿宋"/>
          <w:sz w:val="32"/>
          <w:szCs w:val="32"/>
          <w:u w:val="none" w:color="auto"/>
          <w:lang w:eastAsia="zh-CN"/>
        </w:rPr>
        <w:t>全市已建会企业共签订集体合同933份，覆盖企业1278家。工资专项集体合同1001份，覆盖企业1415家。其中，平台企业签订集体合同</w:t>
      </w:r>
      <w:r>
        <w:rPr>
          <w:rFonts w:hint="eastAsia" w:ascii="仿宋" w:hAnsi="仿宋" w:eastAsia="仿宋" w:cs="仿宋"/>
          <w:sz w:val="32"/>
          <w:szCs w:val="32"/>
          <w:u w:val="none" w:color="auto"/>
          <w:lang w:val="en-US" w:eastAsia="zh-CN"/>
        </w:rPr>
        <w:t>36份</w:t>
      </w:r>
      <w:r>
        <w:rPr>
          <w:rFonts w:hint="eastAsia" w:ascii="仿宋" w:hAnsi="仿宋" w:eastAsia="仿宋" w:cs="仿宋"/>
          <w:sz w:val="32"/>
          <w:szCs w:val="32"/>
          <w:u w:val="none" w:color="auto"/>
          <w:lang w:eastAsia="zh-CN"/>
        </w:rPr>
        <w:t>，覆盖平台企业</w:t>
      </w:r>
      <w:r>
        <w:rPr>
          <w:rFonts w:hint="eastAsia" w:ascii="仿宋" w:hAnsi="仿宋" w:eastAsia="仿宋" w:cs="仿宋"/>
          <w:sz w:val="32"/>
          <w:szCs w:val="32"/>
          <w:u w:val="none" w:color="auto"/>
          <w:lang w:val="en-US" w:eastAsia="zh-CN"/>
        </w:rPr>
        <w:t>121</w:t>
      </w:r>
      <w:r>
        <w:rPr>
          <w:rFonts w:hint="eastAsia" w:ascii="仿宋" w:hAnsi="仿宋" w:eastAsia="仿宋" w:cs="仿宋"/>
          <w:sz w:val="32"/>
          <w:szCs w:val="32"/>
          <w:u w:val="none" w:color="auto"/>
          <w:lang w:eastAsia="zh-CN"/>
        </w:rPr>
        <w:t>家，覆盖新就业形态劳动者</w:t>
      </w:r>
      <w:r>
        <w:rPr>
          <w:rFonts w:hint="eastAsia" w:ascii="仿宋" w:hAnsi="仿宋" w:eastAsia="仿宋" w:cs="仿宋"/>
          <w:sz w:val="32"/>
          <w:szCs w:val="32"/>
          <w:u w:val="none" w:color="auto"/>
          <w:lang w:val="en-US" w:eastAsia="zh-CN"/>
        </w:rPr>
        <w:t>7021</w:t>
      </w:r>
      <w:r>
        <w:rPr>
          <w:rFonts w:hint="eastAsia" w:ascii="仿宋" w:hAnsi="仿宋" w:eastAsia="仿宋" w:cs="仿宋"/>
          <w:sz w:val="32"/>
          <w:szCs w:val="32"/>
          <w:u w:val="none" w:color="auto"/>
          <w:lang w:eastAsia="zh-CN"/>
        </w:rPr>
        <w:t>人。</w:t>
      </w:r>
      <w:r>
        <w:rPr>
          <w:rFonts w:hint="eastAsia" w:ascii="仿宋" w:hAnsi="仿宋" w:eastAsia="仿宋" w:cs="仿宋"/>
          <w:kern w:val="2"/>
          <w:sz w:val="32"/>
          <w:szCs w:val="32"/>
          <w:u w:val="none" w:color="auto"/>
          <w:lang w:val="en-US" w:eastAsia="zh-CN" w:bidi="ar-SA"/>
        </w:rPr>
        <w:t>开展“尊法守法·携手筑梦”服务农牧民工公益法律专项服务活动、女职工合法权益保障法律体检活动和</w:t>
      </w:r>
      <w:r>
        <w:rPr>
          <w:rFonts w:hint="eastAsia" w:ascii="仿宋" w:hAnsi="仿宋" w:eastAsia="仿宋" w:cs="仿宋"/>
          <w:sz w:val="32"/>
          <w:szCs w:val="32"/>
          <w:u w:val="none" w:color="auto"/>
          <w:lang w:eastAsia="zh-CN"/>
        </w:rPr>
        <w:t>女职工</w:t>
      </w:r>
      <w:r>
        <w:rPr>
          <w:rFonts w:hint="eastAsia" w:ascii="仿宋" w:hAnsi="仿宋" w:eastAsia="仿宋" w:cs="仿宋"/>
          <w:sz w:val="32"/>
          <w:szCs w:val="32"/>
          <w:u w:val="none" w:color="auto"/>
        </w:rPr>
        <w:t>普法知识讲座</w:t>
      </w:r>
      <w:r>
        <w:rPr>
          <w:rFonts w:hint="eastAsia" w:ascii="仿宋" w:hAnsi="仿宋" w:eastAsia="仿宋" w:cs="仿宋"/>
          <w:kern w:val="2"/>
          <w:sz w:val="32"/>
          <w:szCs w:val="32"/>
          <w:u w:val="none" w:color="auto"/>
          <w:lang w:val="en-US" w:eastAsia="zh-CN" w:bidi="ar-SA"/>
        </w:rPr>
        <w:t>，</w:t>
      </w:r>
      <w:r>
        <w:rPr>
          <w:rFonts w:hint="eastAsia" w:ascii="仿宋" w:hAnsi="仿宋" w:eastAsia="仿宋" w:cs="仿宋"/>
          <w:sz w:val="32"/>
          <w:szCs w:val="32"/>
          <w:u w:val="none" w:color="auto"/>
        </w:rPr>
        <w:t>依法履行工会劳动法律监督职责，助力营造安全健康平等和谐的劳动环境</w:t>
      </w:r>
      <w:r>
        <w:rPr>
          <w:rFonts w:hint="eastAsia" w:ascii="仿宋" w:hAnsi="仿宋" w:eastAsia="仿宋" w:cs="仿宋"/>
          <w:kern w:val="2"/>
          <w:sz w:val="32"/>
          <w:szCs w:val="32"/>
          <w:u w:val="none" w:color="auto"/>
          <w:lang w:val="en-US" w:eastAsia="zh-CN" w:bidi="ar-SA"/>
        </w:rPr>
        <w:t>。</w:t>
      </w:r>
    </w:p>
    <w:p w14:paraId="14C18D7E">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3.切实维护</w:t>
      </w:r>
      <w:r>
        <w:rPr>
          <w:rFonts w:hint="eastAsia" w:ascii="仿宋" w:hAnsi="仿宋" w:eastAsia="仿宋" w:cs="仿宋"/>
          <w:b/>
          <w:bCs/>
          <w:color w:val="auto"/>
          <w:sz w:val="32"/>
          <w:szCs w:val="32"/>
          <w:u w:val="none" w:color="auto"/>
        </w:rPr>
        <w:t>劳动关系领域政治安全。</w:t>
      </w:r>
      <w:r>
        <w:rPr>
          <w:rFonts w:hint="eastAsia" w:ascii="仿宋" w:hAnsi="仿宋" w:eastAsia="仿宋" w:cs="仿宋"/>
          <w:kern w:val="2"/>
          <w:sz w:val="32"/>
          <w:szCs w:val="32"/>
          <w:u w:val="none" w:color="auto"/>
          <w:lang w:val="en-US" w:eastAsia="zh-CN" w:bidi="ar-SA"/>
        </w:rPr>
        <w:t>召开全市工会维护劳动领域政治安全工作座谈会，</w:t>
      </w:r>
      <w:r>
        <w:rPr>
          <w:rFonts w:hint="eastAsia" w:ascii="仿宋" w:hAnsi="仿宋" w:eastAsia="仿宋" w:cs="仿宋"/>
          <w:b w:val="0"/>
          <w:bCs w:val="0"/>
          <w:color w:val="auto"/>
          <w:kern w:val="2"/>
          <w:sz w:val="32"/>
          <w:szCs w:val="32"/>
          <w:u w:val="none" w:color="auto"/>
          <w:lang w:val="en-US" w:eastAsia="zh-CN" w:bidi="ar-SA"/>
        </w:rPr>
        <w:t>举办全市工会系统信息直报员专题培训班</w:t>
      </w:r>
      <w:r>
        <w:rPr>
          <w:rFonts w:hint="eastAsia" w:ascii="仿宋" w:hAnsi="仿宋" w:eastAsia="仿宋" w:cs="仿宋"/>
          <w:kern w:val="2"/>
          <w:sz w:val="32"/>
          <w:szCs w:val="32"/>
          <w:u w:val="none" w:color="auto"/>
          <w:lang w:val="en-US" w:eastAsia="zh-CN" w:bidi="ar-SA"/>
        </w:rPr>
        <w:t>。</w:t>
      </w:r>
      <w:r>
        <w:rPr>
          <w:rFonts w:hint="eastAsia" w:ascii="仿宋" w:hAnsi="仿宋" w:eastAsia="仿宋" w:cs="仿宋"/>
          <w:sz w:val="32"/>
          <w:szCs w:val="32"/>
          <w:u w:val="none" w:color="auto"/>
          <w:lang w:val="en" w:eastAsia="zh-CN"/>
        </w:rPr>
        <w:t>围绕</w:t>
      </w:r>
      <w:r>
        <w:rPr>
          <w:rFonts w:hint="eastAsia" w:ascii="仿宋" w:hAnsi="仿宋" w:eastAsia="仿宋" w:cs="仿宋"/>
          <w:sz w:val="32"/>
          <w:szCs w:val="32"/>
          <w:u w:val="none" w:color="auto"/>
          <w:lang w:val="en-US" w:eastAsia="zh-CN"/>
        </w:rPr>
        <w:t>11个方面的突出风险点开展</w:t>
      </w:r>
      <w:r>
        <w:rPr>
          <w:rFonts w:hint="eastAsia" w:ascii="仿宋" w:hAnsi="仿宋" w:eastAsia="仿宋" w:cs="仿宋"/>
          <w:kern w:val="2"/>
          <w:sz w:val="32"/>
          <w:szCs w:val="32"/>
          <w:u w:val="none" w:color="auto"/>
          <w:lang w:val="en-US" w:eastAsia="zh-CN" w:bidi="ar-SA"/>
        </w:rPr>
        <w:t>职工队伍稳定风险隐患专项排查化解工作，全面排查化解防范各领域、各行业重大风险隐患。截止目前，</w:t>
      </w:r>
      <w:r>
        <w:rPr>
          <w:rFonts w:hint="eastAsia" w:ascii="仿宋" w:hAnsi="仿宋" w:eastAsia="仿宋" w:cs="仿宋"/>
          <w:sz w:val="32"/>
          <w:szCs w:val="32"/>
          <w:u w:val="none" w:color="auto"/>
          <w:lang w:val="en-US" w:eastAsia="zh-CN"/>
        </w:rPr>
        <w:t>共受理各类信访案件25件次，其中12351职工维权热线工单11件次，处理12345政务服务热线接诉即办工单42件次，职工满意率100%。鄂尔多斯市“法院+工会”诉调工作室全年共调解案件133起，其中，调解成功的案件25起。</w:t>
      </w:r>
      <w:r>
        <w:rPr>
          <w:rFonts w:hint="eastAsia" w:ascii="仿宋" w:hAnsi="仿宋" w:eastAsia="仿宋" w:cs="仿宋"/>
          <w:color w:val="auto"/>
          <w:sz w:val="32"/>
          <w:szCs w:val="32"/>
          <w:u w:val="none" w:color="auto"/>
          <w:lang w:val="en-US" w:eastAsia="zh-CN"/>
        </w:rPr>
        <w:t>2023年，市旗两级工会组建普法服务分队20支，开展普法宣传95场次，服务职工10040人次，对243家企业开展劳动用工法律体检，发现问题隐患21个，开展法律援助16次，挽回职工经济损失23.46万元。受理调解劳动争议案件257件，调解成功84件，挽回职工经济损失482.2万元。</w:t>
      </w:r>
    </w:p>
    <w:p w14:paraId="7B158C3B">
      <w:pPr>
        <w:keepNext w:val="0"/>
        <w:keepLines w:val="0"/>
        <w:pageBreakBefore w:val="0"/>
        <w:widowControl w:val="0"/>
        <w:numPr>
          <w:ilvl w:val="0"/>
          <w:numId w:val="0"/>
        </w:numPr>
        <w:tabs>
          <w:tab w:val="left" w:pos="0"/>
        </w:tabs>
        <w:suppressAutoHyphens/>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kern w:val="2"/>
          <w:sz w:val="32"/>
          <w:szCs w:val="32"/>
          <w:u w:val="none" w:color="auto"/>
          <w:lang w:val="en-US" w:eastAsia="zh-CN" w:bidi="ar-SA"/>
        </w:rPr>
      </w:pPr>
      <w:r>
        <w:rPr>
          <w:rFonts w:hint="eastAsia" w:ascii="仿宋" w:hAnsi="仿宋" w:eastAsia="仿宋" w:cs="仿宋"/>
          <w:b/>
          <w:bCs/>
          <w:sz w:val="32"/>
          <w:szCs w:val="32"/>
          <w:u w:val="none" w:color="auto"/>
          <w:lang w:val="en-US" w:eastAsia="zh-CN" w:bidi="ar-SA"/>
        </w:rPr>
        <w:t>4.全面推进</w:t>
      </w:r>
      <w:r>
        <w:rPr>
          <w:rFonts w:hint="eastAsia" w:ascii="仿宋" w:hAnsi="仿宋" w:eastAsia="仿宋" w:cs="仿宋"/>
          <w:b/>
          <w:bCs/>
          <w:sz w:val="32"/>
          <w:szCs w:val="32"/>
          <w:u w:val="none" w:color="auto"/>
          <w:lang w:eastAsia="zh-CN" w:bidi="ar-SA"/>
        </w:rPr>
        <w:t>“暖城</w:t>
      </w:r>
      <w:r>
        <w:rPr>
          <w:rFonts w:hint="eastAsia" w:ascii="仿宋" w:hAnsi="仿宋" w:eastAsia="仿宋" w:cs="仿宋"/>
          <w:b/>
          <w:bCs/>
          <w:sz w:val="32"/>
          <w:szCs w:val="32"/>
          <w:u w:val="none" w:color="auto"/>
          <w:lang w:val="en-US" w:eastAsia="zh-CN" w:bidi="ar-SA"/>
        </w:rPr>
        <w:t>e站</w:t>
      </w:r>
      <w:r>
        <w:rPr>
          <w:rFonts w:hint="eastAsia" w:ascii="仿宋" w:hAnsi="仿宋" w:eastAsia="仿宋" w:cs="仿宋"/>
          <w:b/>
          <w:bCs/>
          <w:sz w:val="32"/>
          <w:szCs w:val="32"/>
          <w:u w:val="none" w:color="auto"/>
          <w:lang w:eastAsia="zh-CN" w:bidi="ar-SA"/>
        </w:rPr>
        <w:t>”</w:t>
      </w:r>
      <w:r>
        <w:rPr>
          <w:rFonts w:hint="eastAsia" w:ascii="仿宋" w:hAnsi="仿宋" w:eastAsia="仿宋" w:cs="仿宋"/>
          <w:b/>
          <w:bCs/>
          <w:sz w:val="32"/>
          <w:szCs w:val="32"/>
          <w:u w:val="none" w:color="auto"/>
          <w:lang w:val="en-US" w:eastAsia="zh-CN" w:bidi="ar-SA"/>
        </w:rPr>
        <w:t>2.0行动。</w:t>
      </w:r>
      <w:r>
        <w:rPr>
          <w:rFonts w:hint="eastAsia" w:ascii="仿宋" w:hAnsi="仿宋" w:eastAsia="仿宋" w:cs="仿宋"/>
          <w:b w:val="0"/>
          <w:bCs w:val="0"/>
          <w:sz w:val="32"/>
          <w:szCs w:val="32"/>
          <w:u w:val="none" w:color="auto"/>
          <w:lang w:val="en-US" w:eastAsia="zh-CN" w:bidi="ar-SA"/>
        </w:rPr>
        <w:t>制定</w:t>
      </w:r>
      <w:r>
        <w:rPr>
          <w:rFonts w:hint="eastAsia" w:ascii="仿宋" w:hAnsi="仿宋" w:eastAsia="仿宋" w:cs="仿宋"/>
          <w:sz w:val="32"/>
          <w:szCs w:val="32"/>
          <w:u w:val="none" w:color="auto"/>
          <w:lang w:val="en-US" w:eastAsia="zh-CN" w:bidi="ar-SA"/>
        </w:rPr>
        <w:t>印发《鄂尔多斯市总工会推进新就业形态劳动者“暖城e站”2.0行动计划工作方案》，召开新就业形态劳动者“暖城e站”2.0行动工作推进会。截至目前，全市共建成“暖城e站”382家，按照五星服务站点标准化创新性在中心城区打造28家，第一批新建和升级改造9家作为“样板”形成全市可复制可推广的“暖城e站”经典模式。“暖城e站”作为服务新就业形态劳动者的重要阵地，目前正在常态化开展入会建会、职工宣讲、慰问等各种主题活动。</w:t>
      </w:r>
    </w:p>
    <w:p w14:paraId="46340ED0">
      <w:pPr>
        <w:pStyle w:val="29"/>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auto"/>
          <w:sz w:val="32"/>
          <w:szCs w:val="32"/>
          <w:u w:val="none" w:color="auto"/>
        </w:rPr>
      </w:pP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五</w:t>
      </w: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着力夯实</w:t>
      </w:r>
      <w:r>
        <w:rPr>
          <w:rFonts w:hint="eastAsia" w:ascii="仿宋" w:hAnsi="仿宋" w:eastAsia="仿宋" w:cs="仿宋"/>
          <w:color w:val="auto"/>
          <w:sz w:val="32"/>
          <w:szCs w:val="32"/>
          <w:u w:val="none" w:color="auto"/>
        </w:rPr>
        <w:t>工会基层</w:t>
      </w:r>
      <w:r>
        <w:rPr>
          <w:rFonts w:hint="eastAsia" w:ascii="仿宋" w:hAnsi="仿宋" w:eastAsia="仿宋" w:cs="仿宋"/>
          <w:color w:val="auto"/>
          <w:sz w:val="32"/>
          <w:szCs w:val="32"/>
          <w:u w:val="none" w:color="auto"/>
          <w:lang w:eastAsia="zh-CN"/>
        </w:rPr>
        <w:t>工作</w:t>
      </w:r>
      <w:r>
        <w:rPr>
          <w:rFonts w:hint="eastAsia" w:ascii="仿宋" w:hAnsi="仿宋" w:eastAsia="仿宋" w:cs="仿宋"/>
          <w:color w:val="auto"/>
          <w:sz w:val="32"/>
          <w:szCs w:val="32"/>
          <w:u w:val="none" w:color="auto"/>
        </w:rPr>
        <w:t>基础</w:t>
      </w:r>
    </w:p>
    <w:p w14:paraId="268D9F89">
      <w:pPr>
        <w:pStyle w:val="29"/>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000000"/>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1.</w:t>
      </w:r>
      <w:r>
        <w:rPr>
          <w:rFonts w:hint="eastAsia" w:ascii="仿宋" w:hAnsi="仿宋" w:eastAsia="仿宋" w:cs="仿宋"/>
          <w:b/>
          <w:bCs/>
          <w:color w:val="auto"/>
          <w:sz w:val="32"/>
          <w:szCs w:val="32"/>
          <w:u w:val="none" w:color="auto"/>
        </w:rPr>
        <w:t>强化基层工会规范化建设。</w:t>
      </w:r>
      <w:r>
        <w:rPr>
          <w:rFonts w:hint="eastAsia" w:ascii="仿宋" w:hAnsi="仿宋" w:eastAsia="仿宋" w:cs="仿宋"/>
          <w:color w:val="auto"/>
          <w:kern w:val="2"/>
          <w:sz w:val="32"/>
          <w:szCs w:val="32"/>
          <w:u w:val="none" w:color="auto"/>
          <w:lang w:val="en-US" w:eastAsia="zh-CN" w:bidi="ar-SA"/>
        </w:rPr>
        <w:t>印发《鄂尔多斯市总工会关于做好区域性、行业性工会联合会建设工作的提醒函》，进一步规范区域性、行业性工会联合会建设，深入51家基层工会开展工会组织建设规范化工作指导，积极完成工会组织成立、名称变更、注销和换届批复等工作。</w:t>
      </w:r>
      <w:r>
        <w:rPr>
          <w:rFonts w:hint="eastAsia" w:ascii="仿宋" w:hAnsi="仿宋" w:eastAsia="仿宋" w:cs="仿宋"/>
          <w:color w:val="000000"/>
          <w:kern w:val="2"/>
          <w:sz w:val="32"/>
          <w:szCs w:val="32"/>
          <w:u w:val="none" w:color="auto"/>
          <w:lang w:val="en-US" w:eastAsia="zh-CN" w:bidi="ar-SA"/>
        </w:rPr>
        <w:t>推进全市基层工会组织和工会会员实名信息数据录入工作，截至目前工会网上工作平台共录入基层工</w:t>
      </w:r>
      <w:r>
        <w:rPr>
          <w:rFonts w:hint="eastAsia" w:ascii="仿宋" w:hAnsi="仿宋" w:eastAsia="仿宋" w:cs="仿宋"/>
          <w:color w:val="000000"/>
          <w:spacing w:val="27"/>
          <w:kern w:val="2"/>
          <w:sz w:val="32"/>
          <w:szCs w:val="32"/>
          <w:u w:val="none" w:color="auto"/>
          <w:lang w:val="en-US" w:eastAsia="zh-CN" w:bidi="ar-SA"/>
        </w:rPr>
        <w:t>会组织</w:t>
      </w:r>
      <w:r>
        <w:rPr>
          <w:rFonts w:hint="eastAsia" w:ascii="仿宋" w:hAnsi="仿宋" w:eastAsia="仿宋" w:cs="仿宋"/>
          <w:color w:val="000000"/>
          <w:spacing w:val="-6"/>
          <w:kern w:val="2"/>
          <w:sz w:val="32"/>
          <w:szCs w:val="32"/>
          <w:u w:val="none" w:color="auto"/>
          <w:lang w:val="en-US" w:eastAsia="zh-CN" w:bidi="ar-SA"/>
        </w:rPr>
        <w:t>440</w:t>
      </w:r>
      <w:r>
        <w:rPr>
          <w:rFonts w:hint="eastAsia" w:ascii="仿宋" w:hAnsi="仿宋" w:eastAsia="仿宋" w:cs="仿宋"/>
          <w:color w:val="000000"/>
          <w:kern w:val="2"/>
          <w:sz w:val="32"/>
          <w:szCs w:val="32"/>
          <w:u w:val="none" w:color="auto"/>
          <w:lang w:val="en-US" w:eastAsia="zh-CN" w:bidi="ar-SA"/>
        </w:rPr>
        <w:t>5</w:t>
      </w:r>
      <w:r>
        <w:rPr>
          <w:rFonts w:hint="eastAsia" w:ascii="仿宋" w:hAnsi="仿宋" w:eastAsia="仿宋" w:cs="仿宋"/>
          <w:color w:val="000000"/>
          <w:spacing w:val="27"/>
          <w:kern w:val="2"/>
          <w:sz w:val="32"/>
          <w:szCs w:val="32"/>
          <w:u w:val="none" w:color="auto"/>
          <w:lang w:val="en-US" w:eastAsia="zh-CN" w:bidi="ar-SA"/>
        </w:rPr>
        <w:t>个，录入工会会员</w:t>
      </w:r>
      <w:r>
        <w:rPr>
          <w:rFonts w:hint="eastAsia" w:ascii="仿宋" w:hAnsi="仿宋" w:eastAsia="仿宋" w:cs="仿宋"/>
          <w:color w:val="000000"/>
          <w:spacing w:val="-6"/>
          <w:kern w:val="2"/>
          <w:sz w:val="32"/>
          <w:szCs w:val="32"/>
          <w:u w:val="none" w:color="auto"/>
          <w:lang w:val="en-US" w:eastAsia="zh-CN" w:bidi="ar-SA"/>
        </w:rPr>
        <w:t>39609</w:t>
      </w:r>
      <w:r>
        <w:rPr>
          <w:rFonts w:hint="eastAsia" w:ascii="仿宋" w:hAnsi="仿宋" w:eastAsia="仿宋" w:cs="仿宋"/>
          <w:color w:val="000000"/>
          <w:kern w:val="2"/>
          <w:sz w:val="32"/>
          <w:szCs w:val="32"/>
          <w:u w:val="none" w:color="auto"/>
          <w:lang w:val="en-US" w:eastAsia="zh-CN" w:bidi="ar-SA"/>
        </w:rPr>
        <w:t>7</w:t>
      </w:r>
      <w:r>
        <w:rPr>
          <w:rFonts w:hint="eastAsia" w:ascii="仿宋" w:hAnsi="仿宋" w:eastAsia="仿宋" w:cs="仿宋"/>
          <w:color w:val="000000"/>
          <w:spacing w:val="27"/>
          <w:kern w:val="2"/>
          <w:sz w:val="32"/>
          <w:szCs w:val="32"/>
          <w:u w:val="none" w:color="auto"/>
          <w:lang w:val="en-US" w:eastAsia="zh-CN" w:bidi="ar-SA"/>
        </w:rPr>
        <w:t>人，实名认</w:t>
      </w:r>
      <w:r>
        <w:rPr>
          <w:rFonts w:hint="eastAsia" w:ascii="仿宋" w:hAnsi="仿宋" w:eastAsia="仿宋" w:cs="仿宋"/>
          <w:color w:val="000000"/>
          <w:spacing w:val="-45"/>
          <w:kern w:val="2"/>
          <w:sz w:val="32"/>
          <w:szCs w:val="32"/>
          <w:u w:val="none" w:color="auto"/>
          <w:lang w:val="en-US" w:eastAsia="zh-CN" w:bidi="ar-SA"/>
        </w:rPr>
        <w:t>证</w:t>
      </w:r>
      <w:r>
        <w:rPr>
          <w:rFonts w:hint="eastAsia" w:ascii="仿宋" w:hAnsi="仿宋" w:eastAsia="仿宋" w:cs="仿宋"/>
          <w:color w:val="000000"/>
          <w:kern w:val="2"/>
          <w:sz w:val="32"/>
          <w:szCs w:val="32"/>
          <w:u w:val="none" w:color="auto"/>
          <w:lang w:val="en-US" w:eastAsia="zh-CN" w:bidi="ar-SA"/>
        </w:rPr>
        <w:t>335937人。</w:t>
      </w:r>
    </w:p>
    <w:p w14:paraId="46E2E812">
      <w:pPr>
        <w:pStyle w:val="29"/>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auto"/>
          <w:kern w:val="2"/>
          <w:sz w:val="32"/>
          <w:szCs w:val="32"/>
          <w:u w:val="none" w:color="auto"/>
          <w:lang w:val="en-US" w:eastAsia="zh-CN" w:bidi="ar-SA"/>
        </w:rPr>
      </w:pPr>
      <w:r>
        <w:rPr>
          <w:rFonts w:hint="eastAsia" w:ascii="仿宋" w:hAnsi="仿宋" w:eastAsia="仿宋" w:cs="仿宋"/>
          <w:b/>
          <w:bCs/>
          <w:color w:val="000000"/>
          <w:kern w:val="2"/>
          <w:sz w:val="32"/>
          <w:szCs w:val="32"/>
          <w:u w:val="none" w:color="auto"/>
          <w:lang w:val="en-US" w:eastAsia="zh-CN" w:bidi="ar-SA"/>
        </w:rPr>
        <w:t>2.全面推进</w:t>
      </w:r>
      <w:r>
        <w:rPr>
          <w:rFonts w:hint="eastAsia" w:ascii="仿宋" w:hAnsi="仿宋" w:eastAsia="仿宋" w:cs="仿宋"/>
          <w:b/>
          <w:bCs/>
          <w:color w:val="auto"/>
          <w:kern w:val="2"/>
          <w:sz w:val="32"/>
          <w:szCs w:val="32"/>
          <w:u w:val="none" w:color="auto"/>
          <w:lang w:val="en-US" w:eastAsia="zh-CN" w:bidi="ar-SA"/>
        </w:rPr>
        <w:t>“旗县级工会加强年”专项工作</w:t>
      </w:r>
      <w:r>
        <w:rPr>
          <w:rFonts w:hint="eastAsia" w:ascii="仿宋" w:hAnsi="仿宋" w:eastAsia="仿宋" w:cs="仿宋"/>
          <w:b/>
          <w:bCs/>
          <w:color w:val="000000"/>
          <w:kern w:val="2"/>
          <w:sz w:val="32"/>
          <w:szCs w:val="32"/>
          <w:u w:val="none" w:color="auto"/>
          <w:lang w:val="en-US" w:eastAsia="zh-CN" w:bidi="ar-SA"/>
        </w:rPr>
        <w:t>。</w:t>
      </w:r>
      <w:r>
        <w:rPr>
          <w:rFonts w:hint="eastAsia" w:ascii="仿宋" w:hAnsi="仿宋" w:eastAsia="仿宋" w:cs="仿宋"/>
          <w:color w:val="auto"/>
          <w:kern w:val="2"/>
          <w:sz w:val="32"/>
          <w:szCs w:val="32"/>
          <w:u w:val="none" w:color="auto"/>
          <w:lang w:val="en-US" w:eastAsia="zh-CN" w:bidi="ar-SA"/>
        </w:rPr>
        <w:t>召开全市“旗县级工会加强年”专项工作现场推进会，树立大抓基层的鲜明导向，把人力物力财力等资源向基层工会倾斜，推动旗县级工会实现“五强”工作目标，吸引更多新就业形态劳动者、就业群体加入工会。截至目前，全市已建立新就业形态劳动者为主体的工会组织194个，发展会员14198人。</w:t>
      </w:r>
    </w:p>
    <w:p w14:paraId="0EFBA792">
      <w:pPr>
        <w:pStyle w:val="29"/>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000000"/>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3.</w:t>
      </w:r>
      <w:r>
        <w:rPr>
          <w:rFonts w:hint="eastAsia" w:ascii="仿宋" w:hAnsi="仿宋" w:eastAsia="仿宋" w:cs="仿宋"/>
          <w:b/>
          <w:bCs/>
          <w:color w:val="auto"/>
          <w:sz w:val="32"/>
          <w:szCs w:val="32"/>
          <w:u w:val="none" w:color="auto"/>
          <w:lang w:eastAsia="zh-CN"/>
        </w:rPr>
        <w:t>厂务公开民主管理工作走深走实。</w:t>
      </w:r>
      <w:r>
        <w:rPr>
          <w:rFonts w:hint="eastAsia" w:ascii="仿宋" w:hAnsi="仿宋" w:eastAsia="仿宋" w:cs="仿宋"/>
          <w:color w:val="000000"/>
          <w:kern w:val="2"/>
          <w:sz w:val="32"/>
          <w:szCs w:val="32"/>
          <w:u w:val="none" w:color="auto"/>
          <w:lang w:val="en-US" w:eastAsia="zh-CN" w:bidi="ar-SA"/>
        </w:rPr>
        <w:t>开展全市“新时代企事业单位民主管理研究”理论征文活动，</w:t>
      </w:r>
      <w:r>
        <w:rPr>
          <w:rFonts w:hint="eastAsia" w:ascii="仿宋" w:hAnsi="仿宋" w:eastAsia="仿宋" w:cs="仿宋"/>
          <w:color w:val="auto"/>
          <w:kern w:val="2"/>
          <w:sz w:val="32"/>
          <w:szCs w:val="32"/>
          <w:u w:val="none" w:color="auto"/>
          <w:lang w:val="en-US" w:eastAsia="zh-CN" w:bidi="ar-SA"/>
        </w:rPr>
        <w:t>召开全市厂务公开民主管理工作现场推进会，承办全区厂务公开民主管理工作培训班</w:t>
      </w:r>
      <w:r>
        <w:rPr>
          <w:rFonts w:hint="eastAsia" w:ascii="仿宋" w:hAnsi="仿宋" w:eastAsia="仿宋" w:cs="仿宋"/>
          <w:color w:val="000000"/>
          <w:kern w:val="2"/>
          <w:sz w:val="32"/>
          <w:szCs w:val="32"/>
          <w:u w:val="none" w:color="auto"/>
          <w:lang w:val="en-US" w:eastAsia="zh-CN" w:bidi="ar-SA"/>
        </w:rPr>
        <w:t>。积极开展厂务公开民主管理先进单位推选工作，推进同级政府与工会联席会议制度落细落实。在全市国企、非公企业、社会组织、事业单位里择优选取11篇优秀职工代表提案上报自治区总工会。</w:t>
      </w:r>
    </w:p>
    <w:p w14:paraId="4DC7F0BC">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b/>
          <w:bCs/>
          <w:kern w:val="0"/>
          <w:sz w:val="32"/>
          <w:szCs w:val="32"/>
          <w:u w:val="none" w:color="auto"/>
          <w:lang w:bidi="ar"/>
        </w:rPr>
      </w:pPr>
      <w:r>
        <w:rPr>
          <w:rFonts w:hint="eastAsia" w:ascii="仿宋" w:hAnsi="仿宋" w:eastAsia="仿宋" w:cs="仿宋"/>
          <w:b/>
          <w:bCs/>
          <w:color w:val="auto"/>
          <w:sz w:val="32"/>
          <w:szCs w:val="32"/>
          <w:u w:val="none" w:color="auto"/>
          <w:lang w:val="en-US" w:eastAsia="zh-CN"/>
        </w:rPr>
        <w:t>4.</w:t>
      </w:r>
      <w:r>
        <w:rPr>
          <w:rFonts w:hint="eastAsia" w:ascii="仿宋" w:hAnsi="仿宋" w:eastAsia="仿宋" w:cs="仿宋"/>
          <w:b/>
          <w:sz w:val="32"/>
          <w:szCs w:val="32"/>
          <w:u w:val="none" w:color="auto"/>
        </w:rPr>
        <w:t>严格工会经费管理使用</w:t>
      </w:r>
      <w:r>
        <w:rPr>
          <w:rFonts w:hint="eastAsia" w:ascii="仿宋" w:hAnsi="仿宋" w:eastAsia="仿宋" w:cs="仿宋"/>
          <w:sz w:val="32"/>
          <w:szCs w:val="32"/>
          <w:u w:val="none" w:color="auto"/>
        </w:rPr>
        <w:t>。</w:t>
      </w:r>
      <w:r>
        <w:rPr>
          <w:rFonts w:hint="eastAsia" w:ascii="仿宋" w:hAnsi="仿宋" w:eastAsia="仿宋" w:cs="仿宋"/>
          <w:sz w:val="32"/>
          <w:szCs w:val="32"/>
          <w:u w:val="none" w:color="auto"/>
          <w:lang w:eastAsia="zh-CN"/>
        </w:rPr>
        <w:t>制定出台</w:t>
      </w:r>
      <w:r>
        <w:rPr>
          <w:rFonts w:hint="eastAsia" w:ascii="仿宋" w:hAnsi="仿宋" w:eastAsia="仿宋" w:cs="仿宋"/>
          <w:sz w:val="32"/>
          <w:szCs w:val="32"/>
          <w:u w:val="none" w:color="auto"/>
        </w:rPr>
        <w:t>《鄂尔多斯市总工会本级采购预算管理办法》、《鄂尔多斯市工会资产管理办法》和《关于成立鄂尔多斯市总工会资产监督管理委员会的通知》等三个制度文件</w:t>
      </w:r>
      <w:r>
        <w:rPr>
          <w:rFonts w:hint="eastAsia" w:ascii="仿宋" w:hAnsi="仿宋" w:eastAsia="仿宋" w:cs="仿宋"/>
          <w:sz w:val="32"/>
          <w:szCs w:val="32"/>
          <w:u w:val="none" w:color="auto"/>
          <w:lang w:eastAsia="zh-CN"/>
        </w:rPr>
        <w:t>，进一步完善集中采购预算执行制度。联合市税务局对全市大中型企业的工会经费申报情况进行摸底排查，共同对欠缴、漏缴工会经费开展催缴工作，</w:t>
      </w:r>
      <w:r>
        <w:rPr>
          <w:rFonts w:hint="eastAsia" w:ascii="仿宋" w:hAnsi="仿宋" w:eastAsia="仿宋" w:cs="仿宋"/>
          <w:sz w:val="32"/>
          <w:szCs w:val="32"/>
          <w:u w:val="none" w:color="auto"/>
          <w:lang w:val="en-US" w:eastAsia="zh-CN"/>
        </w:rPr>
        <w:t>全年</w:t>
      </w:r>
      <w:r>
        <w:rPr>
          <w:rFonts w:hint="eastAsia" w:ascii="仿宋" w:hAnsi="仿宋" w:eastAsia="仿宋" w:cs="仿宋"/>
          <w:sz w:val="32"/>
          <w:szCs w:val="32"/>
          <w:u w:val="none" w:color="auto"/>
          <w:lang w:eastAsia="zh-CN"/>
        </w:rPr>
        <w:t>累计追缴工会经费4000万元。</w:t>
      </w:r>
      <w:r>
        <w:rPr>
          <w:rFonts w:hint="eastAsia" w:ascii="仿宋" w:hAnsi="仿宋" w:eastAsia="仿宋" w:cs="仿宋"/>
          <w:sz w:val="32"/>
          <w:szCs w:val="32"/>
          <w:u w:val="none" w:color="auto"/>
        </w:rPr>
        <w:t>继续加强小微企业经费返还工作</w:t>
      </w:r>
      <w:r>
        <w:rPr>
          <w:rFonts w:hint="eastAsia" w:ascii="仿宋" w:hAnsi="仿宋" w:eastAsia="仿宋" w:cs="仿宋"/>
          <w:sz w:val="32"/>
          <w:szCs w:val="32"/>
          <w:u w:val="none" w:color="auto"/>
          <w:lang w:eastAsia="zh-CN"/>
        </w:rPr>
        <w:t>，全</w:t>
      </w:r>
      <w:r>
        <w:rPr>
          <w:rFonts w:hint="eastAsia" w:ascii="仿宋" w:hAnsi="仿宋" w:eastAsia="仿宋" w:cs="仿宋"/>
          <w:sz w:val="32"/>
          <w:szCs w:val="32"/>
          <w:u w:val="none" w:color="auto"/>
        </w:rPr>
        <w:t>市各级工会小微企业工会经费全额返还</w:t>
      </w:r>
      <w:r>
        <w:rPr>
          <w:rFonts w:hint="eastAsia" w:ascii="仿宋" w:hAnsi="仿宋" w:eastAsia="仿宋" w:cs="仿宋"/>
          <w:sz w:val="32"/>
          <w:szCs w:val="32"/>
          <w:u w:val="none" w:color="auto"/>
          <w:lang w:val="en-US" w:eastAsia="zh-CN"/>
        </w:rPr>
        <w:t>4179</w:t>
      </w:r>
      <w:r>
        <w:rPr>
          <w:rFonts w:hint="eastAsia" w:ascii="仿宋" w:hAnsi="仿宋" w:eastAsia="仿宋" w:cs="仿宋"/>
          <w:sz w:val="32"/>
          <w:szCs w:val="32"/>
          <w:u w:val="none" w:color="auto"/>
        </w:rPr>
        <w:t>万元，返还小微企业共计</w:t>
      </w:r>
      <w:r>
        <w:rPr>
          <w:rFonts w:hint="eastAsia" w:ascii="仿宋" w:hAnsi="仿宋" w:eastAsia="仿宋" w:cs="仿宋"/>
          <w:sz w:val="32"/>
          <w:szCs w:val="32"/>
          <w:u w:val="none" w:color="auto"/>
          <w:lang w:val="en-US" w:eastAsia="zh-CN"/>
        </w:rPr>
        <w:t>2611</w:t>
      </w:r>
      <w:r>
        <w:rPr>
          <w:rFonts w:hint="eastAsia" w:ascii="仿宋" w:hAnsi="仿宋" w:eastAsia="仿宋" w:cs="仿宋"/>
          <w:sz w:val="32"/>
          <w:szCs w:val="32"/>
          <w:u w:val="none" w:color="auto"/>
        </w:rPr>
        <w:t>家。及时编报市总本级202</w:t>
      </w:r>
      <w:r>
        <w:rPr>
          <w:rFonts w:hint="eastAsia" w:ascii="仿宋" w:hAnsi="仿宋" w:eastAsia="仿宋" w:cs="仿宋"/>
          <w:sz w:val="32"/>
          <w:szCs w:val="32"/>
          <w:u w:val="none" w:color="auto"/>
          <w:lang w:val="en-US" w:eastAsia="zh-CN"/>
        </w:rPr>
        <w:t>3</w:t>
      </w:r>
      <w:r>
        <w:rPr>
          <w:rFonts w:hint="eastAsia" w:ascii="仿宋" w:hAnsi="仿宋" w:eastAsia="仿宋" w:cs="仿宋"/>
          <w:sz w:val="32"/>
          <w:szCs w:val="32"/>
          <w:u w:val="none" w:color="auto"/>
        </w:rPr>
        <w:t>年度经费收支预算</w:t>
      </w:r>
      <w:r>
        <w:rPr>
          <w:rFonts w:hint="eastAsia" w:ascii="仿宋" w:hAnsi="仿宋" w:eastAsia="仿宋" w:cs="仿宋"/>
          <w:sz w:val="32"/>
          <w:szCs w:val="32"/>
          <w:u w:val="none" w:color="auto"/>
          <w:lang w:eastAsia="zh-CN"/>
        </w:rPr>
        <w:t>和</w:t>
      </w:r>
      <w:r>
        <w:rPr>
          <w:rFonts w:hint="eastAsia" w:ascii="仿宋" w:hAnsi="仿宋" w:eastAsia="仿宋" w:cs="仿宋"/>
          <w:sz w:val="32"/>
          <w:szCs w:val="32"/>
          <w:u w:val="none" w:color="auto"/>
        </w:rPr>
        <w:t>202</w:t>
      </w:r>
      <w:r>
        <w:rPr>
          <w:rFonts w:hint="eastAsia" w:ascii="仿宋" w:hAnsi="仿宋" w:eastAsia="仿宋" w:cs="仿宋"/>
          <w:sz w:val="32"/>
          <w:szCs w:val="32"/>
          <w:u w:val="none" w:color="auto"/>
          <w:lang w:val="en-US" w:eastAsia="zh-CN"/>
        </w:rPr>
        <w:t>2</w:t>
      </w:r>
      <w:r>
        <w:rPr>
          <w:rFonts w:hint="eastAsia" w:ascii="仿宋" w:hAnsi="仿宋" w:eastAsia="仿宋" w:cs="仿宋"/>
          <w:sz w:val="32"/>
          <w:szCs w:val="32"/>
          <w:u w:val="none" w:color="auto"/>
        </w:rPr>
        <w:t>年鄂尔多斯市工会经费收支决算，覆盖基层工会</w:t>
      </w:r>
      <w:r>
        <w:rPr>
          <w:rFonts w:hint="eastAsia" w:ascii="仿宋" w:hAnsi="仿宋" w:eastAsia="仿宋" w:cs="仿宋"/>
          <w:sz w:val="32"/>
          <w:szCs w:val="32"/>
          <w:u w:val="none" w:color="auto"/>
          <w:lang w:val="en-US" w:eastAsia="zh-CN"/>
        </w:rPr>
        <w:t>3525</w:t>
      </w:r>
      <w:r>
        <w:rPr>
          <w:rFonts w:hint="eastAsia" w:ascii="仿宋" w:hAnsi="仿宋" w:eastAsia="仿宋" w:cs="仿宋"/>
          <w:sz w:val="32"/>
          <w:szCs w:val="32"/>
          <w:u w:val="none" w:color="auto"/>
        </w:rPr>
        <w:t>个，汇总率</w:t>
      </w:r>
      <w:r>
        <w:rPr>
          <w:rFonts w:hint="eastAsia" w:ascii="仿宋" w:hAnsi="仿宋" w:eastAsia="仿宋" w:cs="仿宋"/>
          <w:sz w:val="32"/>
          <w:szCs w:val="32"/>
          <w:u w:val="none" w:color="auto"/>
          <w:lang w:val="en-US" w:eastAsia="zh-CN"/>
        </w:rPr>
        <w:t>85</w:t>
      </w:r>
      <w:r>
        <w:rPr>
          <w:rFonts w:hint="eastAsia" w:ascii="仿宋" w:hAnsi="仿宋" w:eastAsia="仿宋" w:cs="仿宋"/>
          <w:sz w:val="32"/>
          <w:szCs w:val="32"/>
          <w:u w:val="none" w:color="auto"/>
        </w:rPr>
        <w:t>%。举办全市工会</w:t>
      </w:r>
      <w:r>
        <w:rPr>
          <w:rFonts w:hint="eastAsia" w:ascii="仿宋" w:hAnsi="仿宋" w:eastAsia="仿宋" w:cs="仿宋"/>
          <w:sz w:val="32"/>
          <w:szCs w:val="32"/>
          <w:u w:val="none" w:color="auto"/>
          <w:lang w:eastAsia="zh-CN"/>
        </w:rPr>
        <w:t>财务、</w:t>
      </w:r>
      <w:r>
        <w:rPr>
          <w:rFonts w:hint="eastAsia" w:ascii="仿宋" w:hAnsi="仿宋" w:eastAsia="仿宋" w:cs="仿宋"/>
          <w:sz w:val="32"/>
          <w:szCs w:val="32"/>
          <w:u w:val="none" w:color="auto"/>
        </w:rPr>
        <w:t>经审</w:t>
      </w:r>
      <w:r>
        <w:rPr>
          <w:rFonts w:hint="eastAsia" w:ascii="仿宋" w:hAnsi="仿宋" w:eastAsia="仿宋" w:cs="仿宋"/>
          <w:sz w:val="32"/>
          <w:szCs w:val="32"/>
          <w:u w:val="none" w:color="auto"/>
          <w:lang w:eastAsia="zh-CN"/>
        </w:rPr>
        <w:t>干部</w:t>
      </w:r>
      <w:r>
        <w:rPr>
          <w:rFonts w:hint="eastAsia" w:ascii="仿宋" w:hAnsi="仿宋" w:eastAsia="仿宋" w:cs="仿宋"/>
          <w:sz w:val="32"/>
          <w:szCs w:val="32"/>
          <w:u w:val="none" w:color="auto"/>
        </w:rPr>
        <w:t>培训班</w:t>
      </w:r>
      <w:r>
        <w:rPr>
          <w:rFonts w:hint="eastAsia" w:ascii="仿宋" w:hAnsi="仿宋" w:eastAsia="仿宋" w:cs="仿宋"/>
          <w:sz w:val="32"/>
          <w:szCs w:val="32"/>
          <w:u w:val="none" w:color="auto"/>
          <w:lang w:eastAsia="zh-CN"/>
        </w:rPr>
        <w:t>。</w:t>
      </w:r>
      <w:r>
        <w:rPr>
          <w:rFonts w:hint="eastAsia" w:ascii="仿宋" w:hAnsi="仿宋" w:eastAsia="仿宋" w:cs="仿宋"/>
          <w:color w:val="auto"/>
          <w:sz w:val="32"/>
          <w:szCs w:val="32"/>
          <w:u w:val="none" w:color="auto"/>
        </w:rPr>
        <w:t>对9个旗区总工会202</w:t>
      </w:r>
      <w:r>
        <w:rPr>
          <w:rFonts w:hint="eastAsia" w:ascii="仿宋" w:hAnsi="仿宋" w:eastAsia="仿宋" w:cs="仿宋"/>
          <w:color w:val="auto"/>
          <w:sz w:val="32"/>
          <w:szCs w:val="32"/>
          <w:u w:val="none" w:color="auto"/>
          <w:lang w:val="en-US" w:eastAsia="zh-CN"/>
        </w:rPr>
        <w:t>2</w:t>
      </w:r>
      <w:r>
        <w:rPr>
          <w:rFonts w:hint="eastAsia" w:ascii="仿宋" w:hAnsi="仿宋" w:eastAsia="仿宋" w:cs="仿宋"/>
          <w:color w:val="auto"/>
          <w:sz w:val="32"/>
          <w:szCs w:val="32"/>
          <w:u w:val="none" w:color="auto"/>
        </w:rPr>
        <w:t>年经费审查</w:t>
      </w:r>
      <w:r>
        <w:rPr>
          <w:rFonts w:hint="eastAsia" w:ascii="仿宋" w:hAnsi="仿宋" w:eastAsia="仿宋" w:cs="仿宋"/>
          <w:color w:val="auto"/>
          <w:spacing w:val="6"/>
          <w:sz w:val="32"/>
          <w:szCs w:val="32"/>
          <w:u w:val="none" w:color="auto"/>
        </w:rPr>
        <w:t>工作规范化建设进行考核评估</w:t>
      </w:r>
      <w:r>
        <w:rPr>
          <w:rFonts w:hint="eastAsia" w:ascii="仿宋" w:hAnsi="仿宋" w:eastAsia="仿宋" w:cs="仿宋"/>
          <w:color w:val="auto"/>
          <w:spacing w:val="6"/>
          <w:sz w:val="32"/>
          <w:szCs w:val="32"/>
          <w:u w:val="none" w:color="auto"/>
          <w:lang w:val="en-US" w:eastAsia="zh-CN"/>
        </w:rPr>
        <w:t>,</w:t>
      </w:r>
      <w:r>
        <w:rPr>
          <w:rFonts w:hint="eastAsia" w:ascii="仿宋" w:hAnsi="仿宋" w:eastAsia="仿宋" w:cs="仿宋"/>
          <w:color w:val="auto"/>
          <w:spacing w:val="7"/>
          <w:sz w:val="32"/>
          <w:szCs w:val="32"/>
          <w:u w:val="none" w:color="auto"/>
          <w:lang w:eastAsia="zh-CN"/>
        </w:rPr>
        <w:t>对</w:t>
      </w:r>
      <w:r>
        <w:rPr>
          <w:rFonts w:hint="eastAsia" w:ascii="仿宋" w:hAnsi="仿宋" w:eastAsia="仿宋" w:cs="仿宋"/>
          <w:color w:val="auto"/>
          <w:spacing w:val="-6"/>
          <w:sz w:val="32"/>
          <w:szCs w:val="32"/>
          <w:u w:val="none" w:color="auto"/>
          <w:lang w:val="en-US" w:eastAsia="zh-CN"/>
        </w:rPr>
        <w:t>8</w:t>
      </w:r>
      <w:r>
        <w:rPr>
          <w:rFonts w:hint="eastAsia" w:ascii="仿宋" w:hAnsi="仿宋" w:eastAsia="仿宋" w:cs="仿宋"/>
          <w:color w:val="auto"/>
          <w:spacing w:val="-33"/>
          <w:sz w:val="32"/>
          <w:szCs w:val="32"/>
          <w:u w:val="none" w:color="auto"/>
          <w:lang w:val="en-US" w:eastAsia="zh-CN"/>
        </w:rPr>
        <w:t>7</w:t>
      </w:r>
      <w:r>
        <w:rPr>
          <w:rFonts w:hint="eastAsia" w:ascii="仿宋" w:hAnsi="仿宋" w:eastAsia="仿宋" w:cs="仿宋"/>
          <w:color w:val="auto"/>
          <w:spacing w:val="6"/>
          <w:sz w:val="32"/>
          <w:szCs w:val="32"/>
          <w:u w:val="none" w:color="auto"/>
          <w:lang w:val="en" w:eastAsia="zh-CN"/>
        </w:rPr>
        <w:t>个基层工会</w:t>
      </w:r>
      <w:r>
        <w:rPr>
          <w:rFonts w:hint="eastAsia" w:ascii="仿宋" w:hAnsi="仿宋" w:eastAsia="仿宋" w:cs="仿宋"/>
          <w:color w:val="auto"/>
          <w:spacing w:val="6"/>
          <w:sz w:val="32"/>
          <w:szCs w:val="32"/>
          <w:u w:val="none" w:color="auto"/>
          <w:lang w:eastAsia="zh-CN"/>
        </w:rPr>
        <w:t>进行</w:t>
      </w:r>
      <w:r>
        <w:rPr>
          <w:rFonts w:hint="eastAsia" w:ascii="仿宋" w:hAnsi="仿宋" w:eastAsia="仿宋" w:cs="仿宋"/>
          <w:color w:val="auto"/>
          <w:spacing w:val="6"/>
          <w:sz w:val="32"/>
          <w:szCs w:val="32"/>
          <w:u w:val="none" w:color="auto"/>
          <w:lang w:val="en-US" w:eastAsia="zh-CN"/>
        </w:rPr>
        <w:t>摸</w:t>
      </w:r>
      <w:r>
        <w:rPr>
          <w:rFonts w:hint="eastAsia" w:ascii="仿宋" w:hAnsi="仿宋" w:eastAsia="仿宋" w:cs="仿宋"/>
          <w:color w:val="auto"/>
          <w:spacing w:val="-6"/>
          <w:sz w:val="32"/>
          <w:szCs w:val="32"/>
          <w:u w:val="none" w:color="auto"/>
          <w:lang w:val="en-US" w:eastAsia="zh-CN"/>
        </w:rPr>
        <w:t>底</w:t>
      </w:r>
      <w:r>
        <w:rPr>
          <w:rFonts w:hint="eastAsia" w:ascii="仿宋" w:hAnsi="仿宋" w:eastAsia="仿宋" w:cs="仿宋"/>
          <w:color w:val="auto"/>
          <w:sz w:val="32"/>
          <w:szCs w:val="32"/>
          <w:u w:val="none" w:color="auto"/>
          <w:lang w:val="en-US" w:eastAsia="zh-CN"/>
        </w:rPr>
        <w:t>审计。</w:t>
      </w:r>
    </w:p>
    <w:p w14:paraId="062C13E1">
      <w:pPr>
        <w:pStyle w:val="3"/>
        <w:keepNext/>
        <w:keepLines w:val="0"/>
        <w:widowControl/>
        <w:suppressLineNumbers w:val="0"/>
        <w:overflowPunct w:val="0"/>
        <w:topLinePunct/>
        <w:spacing w:before="0" w:beforeAutospacing="1" w:after="0" w:afterAutospacing="1" w:line="600" w:lineRule="atLeast"/>
        <w:ind w:left="0" w:right="0"/>
        <w:jc w:val="center"/>
        <w:outlineLvl w:val="0"/>
        <w:rPr>
          <w:rFonts w:hint="eastAsia" w:ascii="方正小标宋_GBK" w:hAnsi="方正小标宋_GBK" w:eastAsia="方正小标宋_GBK" w:cs="方正小标宋_GBK"/>
          <w:b/>
          <w:bCs/>
          <w:kern w:val="0"/>
          <w:sz w:val="44"/>
          <w:szCs w:val="44"/>
          <w:u w:val="none" w:color="auto"/>
          <w:lang w:bidi="ar"/>
        </w:rPr>
      </w:pPr>
      <w:bookmarkStart w:id="6" w:name="_Toc10664"/>
      <w:r>
        <w:rPr>
          <w:rFonts w:hint="eastAsia" w:ascii="方正小标宋_GBK" w:hAnsi="方正小标宋_GBK" w:eastAsia="方正小标宋_GBK" w:cs="方正小标宋_GBK"/>
          <w:b/>
          <w:bCs/>
          <w:kern w:val="0"/>
          <w:sz w:val="44"/>
          <w:szCs w:val="44"/>
          <w:u w:val="none" w:color="auto"/>
          <w:lang w:bidi="ar"/>
        </w:rPr>
        <w:t>第二部分</w:t>
      </w:r>
      <w:r>
        <w:rPr>
          <w:rFonts w:hint="eastAsia" w:ascii="方正小标宋_GBK" w:hAnsi="方正小标宋_GBK" w:eastAsia="方正小标宋_GBK" w:cs="方正小标宋_GBK"/>
          <w:b/>
          <w:bCs/>
          <w:kern w:val="0"/>
          <w:sz w:val="44"/>
          <w:szCs w:val="44"/>
          <w:u w:val="none" w:color="auto"/>
          <w:lang w:val="en-US" w:eastAsia="zh-CN" w:bidi="ar"/>
        </w:rPr>
        <w:t xml:space="preserve"> 部门</w:t>
      </w:r>
      <w:r>
        <w:rPr>
          <w:rFonts w:hint="eastAsia" w:ascii="方正小标宋_GBK" w:hAnsi="方正小标宋_GBK" w:eastAsia="方正小标宋_GBK" w:cs="方正小标宋_GBK"/>
          <w:b/>
          <w:bCs/>
          <w:kern w:val="0"/>
          <w:sz w:val="44"/>
          <w:szCs w:val="44"/>
          <w:u w:val="none" w:color="auto"/>
          <w:lang w:bidi="ar"/>
        </w:rPr>
        <w:t>决算情况说明</w:t>
      </w:r>
      <w:bookmarkEnd w:id="6"/>
    </w:p>
    <w:p w14:paraId="633BBB92">
      <w:pPr>
        <w:keepNext w:val="0"/>
        <w:keepLines w:val="0"/>
        <w:widowControl/>
        <w:suppressLineNumbers w:val="0"/>
        <w:overflowPunct w:val="0"/>
        <w:topLinePunct/>
        <w:spacing w:before="0" w:beforeAutospacing="1" w:after="0" w:afterAutospacing="1" w:line="600" w:lineRule="atLeast"/>
        <w:ind w:right="0"/>
        <w:jc w:val="both"/>
        <w:outlineLvl w:val="1"/>
        <w:rPr>
          <w:rFonts w:hint="eastAsia" w:ascii="黑体" w:hAnsi="宋体" w:eastAsia="黑体" w:cs="黑体"/>
          <w:b/>
          <w:bCs/>
          <w:kern w:val="0"/>
          <w:sz w:val="32"/>
          <w:szCs w:val="32"/>
          <w:u w:val="none" w:color="auto"/>
          <w:lang w:bidi="ar"/>
        </w:rPr>
      </w:pPr>
      <w:bookmarkStart w:id="7" w:name="_Toc6713"/>
      <w:r>
        <w:rPr>
          <w:rFonts w:hint="eastAsia" w:ascii="黑体" w:hAnsi="宋体" w:eastAsia="黑体" w:cs="黑体"/>
          <w:b/>
          <w:bCs/>
          <w:kern w:val="0"/>
          <w:sz w:val="32"/>
          <w:szCs w:val="32"/>
          <w:u w:val="none" w:color="auto"/>
          <w:lang w:bidi="ar"/>
        </w:rPr>
        <w:t>一、收入支出决算总体情况说明</w:t>
      </w:r>
      <w:bookmarkEnd w:id="7"/>
    </w:p>
    <w:p w14:paraId="1EBFBF23">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sz w:val="32"/>
          <w:szCs w:val="32"/>
          <w:u w:val="none" w:color="auto"/>
        </w:rPr>
      </w:pPr>
      <w:r>
        <w:rPr>
          <w:rFonts w:hint="eastAsia" w:ascii="仿宋" w:hAnsi="仿宋" w:eastAsia="仿宋" w:cs="仿宋"/>
          <w:sz w:val="32"/>
          <w:szCs w:val="32"/>
          <w:u w:val="none" w:color="auto"/>
        </w:rPr>
        <w:t>鄂尔多斯市总工会2023年度收入、支出决算总计1747.45万元。与年初预算相比，收、支总计各增</w:t>
      </w:r>
      <w:r>
        <w:rPr>
          <w:rFonts w:hint="eastAsia" w:ascii="仿宋" w:hAnsi="仿宋" w:eastAsia="仿宋" w:cs="仿宋"/>
          <w:sz w:val="32"/>
          <w:szCs w:val="32"/>
          <w:u w:val="none" w:color="auto"/>
          <w:lang w:val="en-US" w:eastAsia="zh-CN"/>
        </w:rPr>
        <w:t>加</w:t>
      </w:r>
      <w:r>
        <w:rPr>
          <w:rFonts w:hint="eastAsia" w:ascii="仿宋" w:hAnsi="仿宋" w:eastAsia="仿宋" w:cs="仿宋"/>
          <w:sz w:val="32"/>
          <w:szCs w:val="32"/>
          <w:u w:val="none" w:color="auto"/>
        </w:rPr>
        <w:t>165.61万元，增长10.47%，变动原因</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lang w:val="en-US" w:eastAsia="zh-CN"/>
        </w:rPr>
        <w:t>年中增加两个支出项目：一是一次性抚恤金127.05万元，二是2022年度考核奖励经费50万元</w:t>
      </w:r>
      <w:r>
        <w:rPr>
          <w:rFonts w:hint="eastAsia" w:ascii="仿宋" w:hAnsi="仿宋" w:eastAsia="仿宋" w:cs="仿宋"/>
          <w:sz w:val="32"/>
          <w:szCs w:val="32"/>
          <w:u w:val="none" w:color="auto"/>
        </w:rPr>
        <w:t>；与上年决算相比，收、支总计各增加294.72万元，增长20.29%。其中：</w:t>
      </w:r>
    </w:p>
    <w:p w14:paraId="4B66EEC3">
      <w:pPr>
        <w:widowControl/>
        <w:overflowPunct w:val="0"/>
        <w:topLinePunct/>
        <w:spacing w:before="240" w:after="240"/>
        <w:jc w:val="left"/>
        <w:rPr>
          <w:rFonts w:hint="eastAsia" w:ascii="方正楷体_GB2312" w:hAnsi="方正楷体_GB2312" w:eastAsia="方正楷体_GB2312" w:cs="方正楷体_GB2312"/>
          <w:kern w:val="0"/>
          <w:sz w:val="32"/>
          <w:szCs w:val="32"/>
          <w:u w:val="none" w:color="auto"/>
        </w:rPr>
      </w:pPr>
      <w:r>
        <w:rPr>
          <w:rFonts w:hint="eastAsia" w:ascii="方正楷体_GB2312" w:hAnsi="方正楷体_GB2312" w:eastAsia="方正楷体_GB2312" w:cs="方正楷体_GB2312"/>
          <w:b/>
          <w:bCs/>
          <w:kern w:val="0"/>
          <w:sz w:val="32"/>
          <w:szCs w:val="32"/>
          <w:u w:val="none" w:color="auto"/>
        </w:rPr>
        <w:t>（一）收入决算总计 1747.45万元。包括：</w:t>
      </w:r>
    </w:p>
    <w:p w14:paraId="14F4151D">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sz w:val="32"/>
          <w:szCs w:val="32"/>
          <w:highlight w:val="none"/>
          <w:u w:val="none" w:color="auto"/>
        </w:rPr>
      </w:pPr>
      <w:r>
        <w:rPr>
          <w:rFonts w:hint="eastAsia" w:ascii="仿宋" w:hAnsi="仿宋" w:eastAsia="仿宋" w:cs="仿宋"/>
          <w:sz w:val="32"/>
          <w:szCs w:val="32"/>
          <w:u w:val="none" w:color="auto"/>
        </w:rPr>
        <w:t>1.本年收入决算合计1747.45万元。与上年决算相比，增加294.72万元，增长20.29%，变动原因：</w:t>
      </w:r>
      <w:r>
        <w:rPr>
          <w:rFonts w:hint="eastAsia" w:ascii="仿宋" w:hAnsi="仿宋" w:eastAsia="仿宋" w:cs="仿宋"/>
          <w:sz w:val="32"/>
          <w:szCs w:val="32"/>
          <w:u w:val="none" w:color="auto"/>
          <w:lang w:val="en-US" w:eastAsia="zh-CN"/>
        </w:rPr>
        <w:t>行政事业单位工会经费增加240万元，</w:t>
      </w:r>
      <w:r>
        <w:rPr>
          <w:rFonts w:hint="eastAsia" w:ascii="仿宋" w:hAnsi="仿宋" w:eastAsia="仿宋" w:cs="仿宋"/>
          <w:sz w:val="32"/>
          <w:szCs w:val="32"/>
          <w:highlight w:val="none"/>
          <w:u w:val="none" w:color="auto"/>
          <w:lang w:val="en-US" w:eastAsia="zh-CN"/>
        </w:rPr>
        <w:t>我部门在编在岗人员的各项保险费用增加54.72万元</w:t>
      </w:r>
      <w:r>
        <w:rPr>
          <w:rFonts w:hint="eastAsia" w:ascii="仿宋" w:hAnsi="仿宋" w:eastAsia="仿宋" w:cs="仿宋"/>
          <w:sz w:val="32"/>
          <w:szCs w:val="32"/>
          <w:highlight w:val="none"/>
          <w:u w:val="none" w:color="auto"/>
        </w:rPr>
        <w:t>。</w:t>
      </w:r>
    </w:p>
    <w:p w14:paraId="188F3113">
      <w:pPr>
        <w:keepNext w:val="0"/>
        <w:keepLines w:val="0"/>
        <w:pageBreakBefore w:val="0"/>
        <w:kinsoku/>
        <w:wordWrap/>
        <w:overflowPunct w:val="0"/>
        <w:topLinePunct/>
        <w:autoSpaceDE/>
        <w:autoSpaceDN/>
        <w:bidi w:val="0"/>
        <w:adjustRightInd/>
        <w:snapToGrid/>
        <w:spacing w:line="240" w:lineRule="auto"/>
        <w:ind w:firstLine="628" w:firstLineChars="200"/>
        <w:textAlignment w:val="auto"/>
        <w:rPr>
          <w:rFonts w:hint="eastAsia" w:ascii="仿宋" w:hAnsi="仿宋" w:eastAsia="仿宋" w:cs="仿宋"/>
          <w:sz w:val="32"/>
          <w:szCs w:val="32"/>
          <w:u w:val="none" w:color="auto"/>
          <w:lang w:val="en-US" w:eastAsia="zh-CN"/>
        </w:rPr>
      </w:pPr>
      <w:r>
        <w:rPr>
          <w:rFonts w:hint="eastAsia" w:ascii="仿宋" w:hAnsi="仿宋" w:eastAsia="仿宋" w:cs="仿宋"/>
          <w:sz w:val="32"/>
          <w:szCs w:val="32"/>
          <w:u w:val="none" w:color="auto"/>
        </w:rPr>
        <w:t>2.使用非财政拨款结余和专用结余0.00万元。与上年决算相比，增加0.00万元，增长</w:t>
      </w:r>
      <w:r>
        <w:rPr>
          <w:rFonts w:hint="eastAsia" w:ascii="仿宋" w:hAnsi="仿宋" w:eastAsia="仿宋" w:cs="仿宋"/>
          <w:sz w:val="32"/>
          <w:szCs w:val="32"/>
          <w:u w:val="none" w:color="auto"/>
          <w:lang w:val="en-US" w:eastAsia="zh-CN"/>
        </w:rPr>
        <w:t>0</w:t>
      </w:r>
      <w:r>
        <w:rPr>
          <w:rFonts w:hint="eastAsia" w:ascii="仿宋" w:hAnsi="仿宋" w:eastAsia="仿宋" w:cs="仿宋"/>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5FA2CFA3">
      <w:pPr>
        <w:keepNext w:val="0"/>
        <w:keepLines w:val="0"/>
        <w:pageBreakBefore w:val="0"/>
        <w:kinsoku/>
        <w:wordWrap/>
        <w:overflowPunct w:val="0"/>
        <w:topLinePunct/>
        <w:autoSpaceDE/>
        <w:autoSpaceDN/>
        <w:bidi w:val="0"/>
        <w:adjustRightInd/>
        <w:snapToGrid/>
        <w:spacing w:line="240" w:lineRule="auto"/>
        <w:ind w:firstLine="628" w:firstLineChars="200"/>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3.年初结转和结余0.00万元。与上年决算相比，增加0.00万元，增长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4BA8D1B5">
      <w:pPr>
        <w:widowControl/>
        <w:overflowPunct w:val="0"/>
        <w:topLinePunct/>
        <w:spacing w:before="240" w:after="240"/>
        <w:jc w:val="left"/>
        <w:rPr>
          <w:rFonts w:hint="eastAsia" w:ascii="方正楷体_GB2312" w:hAnsi="方正楷体_GB2312" w:eastAsia="方正楷体_GB2312" w:cs="方正楷体_GB2312"/>
          <w:b/>
          <w:bCs/>
          <w:kern w:val="0"/>
          <w:sz w:val="32"/>
          <w:szCs w:val="32"/>
          <w:u w:val="none" w:color="auto"/>
        </w:rPr>
      </w:pPr>
      <w:r>
        <w:rPr>
          <w:rFonts w:hint="eastAsia" w:ascii="方正楷体_GB2312" w:hAnsi="方正楷体_GB2312" w:eastAsia="方正楷体_GB2312" w:cs="方正楷体_GB2312"/>
          <w:b/>
          <w:bCs/>
          <w:kern w:val="0"/>
          <w:sz w:val="32"/>
          <w:szCs w:val="32"/>
          <w:u w:val="none" w:color="auto"/>
        </w:rPr>
        <w:t>（二）支出决算总计 1747.45万元。包括：</w:t>
      </w:r>
    </w:p>
    <w:p w14:paraId="116B9651">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kern w:val="0"/>
          <w:sz w:val="32"/>
          <w:szCs w:val="32"/>
          <w:highlight w:val="none"/>
          <w:u w:val="none" w:color="auto"/>
        </w:rPr>
      </w:pPr>
      <w:r>
        <w:rPr>
          <w:rFonts w:hint="eastAsia" w:ascii="仿宋" w:hAnsi="仿宋" w:eastAsia="仿宋" w:cs="仿宋"/>
          <w:kern w:val="0"/>
          <w:sz w:val="32"/>
          <w:szCs w:val="32"/>
          <w:u w:val="none" w:color="auto"/>
        </w:rPr>
        <w:t>1.本年支出决算合计1747.45万元。与上年决算相比，增加294.72万元，增长20.29%，变动原因：</w:t>
      </w:r>
      <w:r>
        <w:rPr>
          <w:rFonts w:hint="eastAsia" w:ascii="仿宋" w:hAnsi="仿宋" w:eastAsia="仿宋" w:cs="仿宋"/>
          <w:sz w:val="32"/>
          <w:szCs w:val="32"/>
          <w:u w:val="none" w:color="auto"/>
          <w:lang w:val="en-US" w:eastAsia="zh-CN"/>
        </w:rPr>
        <w:t>行政事业单位工会经费增加240万元，</w:t>
      </w:r>
      <w:r>
        <w:rPr>
          <w:rFonts w:hint="eastAsia" w:ascii="仿宋" w:hAnsi="仿宋" w:eastAsia="仿宋" w:cs="仿宋"/>
          <w:sz w:val="32"/>
          <w:szCs w:val="32"/>
          <w:highlight w:val="none"/>
          <w:u w:val="none" w:color="auto"/>
          <w:lang w:val="en-US" w:eastAsia="zh-CN"/>
        </w:rPr>
        <w:t>我部门在编在岗人员的各项保险费用增加54.72万元</w:t>
      </w:r>
      <w:r>
        <w:rPr>
          <w:rFonts w:hint="eastAsia" w:ascii="仿宋" w:hAnsi="仿宋" w:eastAsia="仿宋" w:cs="仿宋"/>
          <w:sz w:val="32"/>
          <w:szCs w:val="32"/>
          <w:highlight w:val="none"/>
          <w:u w:val="none" w:color="auto"/>
        </w:rPr>
        <w:t>。</w:t>
      </w:r>
    </w:p>
    <w:p w14:paraId="3185CD15">
      <w:pPr>
        <w:widowControl/>
        <w:overflowPunct w:val="0"/>
        <w:topLinePunct/>
        <w:spacing w:before="240" w:after="240"/>
        <w:ind w:firstLine="916" w:firstLineChars="292"/>
        <w:rPr>
          <w:rFonts w:hint="eastAsia" w:ascii="仿宋" w:hAnsi="仿宋" w:eastAsia="仿宋" w:cs="仿宋"/>
          <w:sz w:val="32"/>
          <w:szCs w:val="32"/>
          <w:u w:val="none" w:color="auto"/>
          <w:lang w:val="en-US" w:eastAsia="zh-CN"/>
        </w:rPr>
      </w:pPr>
      <w:r>
        <w:rPr>
          <w:rFonts w:hint="eastAsia" w:ascii="仿宋" w:hAnsi="仿宋" w:eastAsia="仿宋" w:cs="仿宋"/>
          <w:kern w:val="0"/>
          <w:sz w:val="32"/>
          <w:szCs w:val="32"/>
          <w:u w:val="none" w:color="auto"/>
        </w:rPr>
        <w:t>2.结余分配0.00万元。结余分配事项：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471FB844">
      <w:pPr>
        <w:widowControl/>
        <w:overflowPunct w:val="0"/>
        <w:topLinePunct/>
        <w:spacing w:before="240" w:after="240"/>
        <w:ind w:firstLine="916" w:firstLineChars="292"/>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3.年末结转和结余 0.00万元。结转和结余事项：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 0.00万元，增长</w:t>
      </w:r>
      <w:r>
        <w:rPr>
          <w:rFonts w:hint="eastAsia" w:ascii="仿宋" w:hAnsi="仿宋" w:eastAsia="仿宋" w:cs="仿宋"/>
          <w:kern w:val="0"/>
          <w:sz w:val="32"/>
          <w:szCs w:val="32"/>
          <w:u w:val="none" w:color="auto"/>
          <w:lang w:val="en-US" w:eastAsia="zh-CN"/>
        </w:rPr>
        <w:t xml:space="preserve">0 </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0D969132">
      <w:pPr>
        <w:keepNext w:val="0"/>
        <w:keepLines w:val="0"/>
        <w:widowControl/>
        <w:suppressLineNumbers w:val="0"/>
        <w:overflowPunct w:val="0"/>
        <w:topLinePunct/>
        <w:spacing w:before="0" w:beforeAutospacing="1" w:after="0" w:afterAutospacing="1" w:line="600" w:lineRule="atLeast"/>
        <w:ind w:right="0"/>
        <w:jc w:val="both"/>
        <w:outlineLvl w:val="1"/>
        <w:rPr>
          <w:rFonts w:hint="eastAsia" w:ascii="黑体" w:hAnsi="宋体" w:eastAsia="黑体" w:cs="黑体"/>
          <w:b/>
          <w:bCs/>
          <w:kern w:val="0"/>
          <w:sz w:val="32"/>
          <w:szCs w:val="32"/>
          <w:u w:val="none" w:color="auto"/>
          <w:lang w:bidi="ar"/>
        </w:rPr>
      </w:pPr>
      <w:bookmarkStart w:id="8" w:name="_Toc29125"/>
      <w:r>
        <w:rPr>
          <w:rFonts w:hint="eastAsia" w:ascii="黑体" w:hAnsi="宋体" w:eastAsia="黑体" w:cs="黑体"/>
          <w:b/>
          <w:bCs/>
          <w:kern w:val="0"/>
          <w:sz w:val="32"/>
          <w:szCs w:val="32"/>
          <w:u w:val="none" w:color="auto"/>
          <w:lang w:bidi="ar"/>
        </w:rPr>
        <w:t>二、收入决算情况说明</w:t>
      </w:r>
      <w:bookmarkEnd w:id="8"/>
    </w:p>
    <w:p w14:paraId="1C483965">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鄂尔多斯市总工会（部门）2023年度本年收入决算合计1747.45万元，其中：</w:t>
      </w:r>
    </w:p>
    <w:p w14:paraId="5670154E">
      <w:pPr>
        <w:widowControl/>
        <w:overflowPunct w:val="0"/>
        <w:topLinePunct/>
        <w:spacing w:before="240" w:after="240"/>
        <w:ind w:firstLine="628"/>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spacing w:val="31"/>
          <w:kern w:val="0"/>
          <w:sz w:val="32"/>
          <w:szCs w:val="32"/>
          <w:u w:val="none" w:color="auto"/>
        </w:rPr>
        <w:t>本年一般公共预算财政拨款收</w:t>
      </w:r>
      <w:r>
        <w:rPr>
          <w:rFonts w:hint="eastAsia" w:ascii="方正仿宋_GB2312" w:hAnsi="方正仿宋_GB2312" w:eastAsia="方正仿宋_GB2312" w:cs="方正仿宋_GB2312"/>
          <w:spacing w:val="32"/>
          <w:kern w:val="0"/>
          <w:sz w:val="32"/>
          <w:szCs w:val="32"/>
          <w:u w:val="none" w:color="auto"/>
        </w:rPr>
        <w:t>入</w:t>
      </w:r>
      <w:r>
        <w:rPr>
          <w:rFonts w:hint="eastAsia" w:ascii="方正仿宋_GB2312" w:hAnsi="方正仿宋_GB2312" w:eastAsia="方正仿宋_GB2312" w:cs="方正仿宋_GB2312"/>
          <w:spacing w:val="-6"/>
          <w:kern w:val="0"/>
          <w:sz w:val="32"/>
          <w:szCs w:val="32"/>
          <w:u w:val="none" w:color="auto"/>
        </w:rPr>
        <w:t>1747.4</w:t>
      </w:r>
      <w:r>
        <w:rPr>
          <w:rFonts w:hint="eastAsia" w:ascii="方正仿宋_GB2312" w:hAnsi="方正仿宋_GB2312" w:eastAsia="方正仿宋_GB2312" w:cs="方正仿宋_GB2312"/>
          <w:spacing w:val="-7"/>
          <w:kern w:val="0"/>
          <w:sz w:val="32"/>
          <w:szCs w:val="32"/>
          <w:u w:val="none" w:color="auto"/>
        </w:rPr>
        <w:t>5</w:t>
      </w:r>
      <w:r>
        <w:rPr>
          <w:rFonts w:hint="eastAsia" w:ascii="方正仿宋_GB2312" w:hAnsi="方正仿宋_GB2312" w:eastAsia="方正仿宋_GB2312" w:cs="方正仿宋_GB2312"/>
          <w:spacing w:val="31"/>
          <w:kern w:val="0"/>
          <w:sz w:val="32"/>
          <w:szCs w:val="32"/>
          <w:u w:val="none" w:color="auto"/>
        </w:rPr>
        <w:t>万元</w:t>
      </w:r>
      <w:r>
        <w:rPr>
          <w:rFonts w:hint="eastAsia" w:ascii="方正仿宋_GB2312" w:hAnsi="方正仿宋_GB2312" w:eastAsia="方正仿宋_GB2312" w:cs="方正仿宋_GB2312"/>
          <w:spacing w:val="32"/>
          <w:kern w:val="0"/>
          <w:sz w:val="32"/>
          <w:szCs w:val="32"/>
          <w:u w:val="none" w:color="auto"/>
        </w:rPr>
        <w:t>，</w:t>
      </w:r>
      <w:r>
        <w:rPr>
          <w:rFonts w:hint="eastAsia" w:ascii="方正仿宋_GB2312" w:hAnsi="方正仿宋_GB2312" w:eastAsia="方正仿宋_GB2312" w:cs="方正仿宋_GB2312"/>
          <w:spacing w:val="-45"/>
          <w:kern w:val="0"/>
          <w:sz w:val="32"/>
          <w:szCs w:val="32"/>
          <w:u w:val="none" w:color="auto"/>
        </w:rPr>
        <w:t>占</w:t>
      </w:r>
      <w:r>
        <w:rPr>
          <w:rFonts w:hint="eastAsia" w:ascii="方正仿宋_GB2312" w:hAnsi="方正仿宋_GB2312" w:eastAsia="方正仿宋_GB2312" w:cs="方正仿宋_GB2312"/>
          <w:kern w:val="0"/>
          <w:sz w:val="32"/>
          <w:szCs w:val="32"/>
          <w:u w:val="none" w:color="auto"/>
        </w:rPr>
        <w:t>100.00%；</w:t>
      </w:r>
    </w:p>
    <w:p w14:paraId="2135A9D4">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本年政府性基金预算财政拨款收入0.00万元，占0.00%；</w:t>
      </w:r>
    </w:p>
    <w:p w14:paraId="551C4A11">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本年国有资本经营预算财政拨款收入0.00万元，占0.00%；</w:t>
      </w:r>
    </w:p>
    <w:p w14:paraId="0942231E">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本年上级补助收入0.00万元，占0.00%；</w:t>
      </w:r>
    </w:p>
    <w:p w14:paraId="66144F51">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本年事业收入0.00万元，占0.00%；</w:t>
      </w:r>
    </w:p>
    <w:p w14:paraId="63170F83">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本年经营收入0.00万元，占0.00%；</w:t>
      </w:r>
    </w:p>
    <w:p w14:paraId="1BCB3C80">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本年附属单位上缴收入0.00万元，占0.00%；</w:t>
      </w:r>
    </w:p>
    <w:p w14:paraId="31EFF4FB">
      <w:pPr>
        <w:widowControl/>
        <w:overflowPunct w:val="0"/>
        <w:topLinePunct/>
        <w:spacing w:before="240" w:after="240"/>
        <w:ind w:firstLine="628" w:firstLineChars="200"/>
        <w:rPr>
          <w:rFonts w:hint="eastAsia" w:ascii="方正仿宋_GB2312" w:hAnsi="方正仿宋_GB2312" w:eastAsia="方正仿宋_GB2312" w:cs="方正仿宋_GB2312"/>
          <w:kern w:val="0"/>
          <w:sz w:val="32"/>
          <w:szCs w:val="32"/>
          <w:u w:val="none" w:color="auto"/>
        </w:rPr>
      </w:pPr>
      <w:r>
        <w:rPr>
          <w:rFonts w:hint="eastAsia" w:ascii="方正仿宋_GB2312" w:hAnsi="方正仿宋_GB2312" w:eastAsia="方正仿宋_GB2312" w:cs="方正仿宋_GB2312"/>
          <w:kern w:val="0"/>
          <w:sz w:val="32"/>
          <w:szCs w:val="32"/>
          <w:u w:val="none" w:color="auto"/>
        </w:rPr>
        <w:t>本年其他收入0.00万元，占0.00%。</w:t>
      </w:r>
    </w:p>
    <w:p w14:paraId="652594DE">
      <w:pPr>
        <w:widowControl/>
        <w:overflowPunct w:val="0"/>
        <w:topLinePunct/>
        <w:spacing w:before="240" w:after="240"/>
        <w:rPr>
          <w:rFonts w:hint="eastAsia" w:ascii="Times New Roman" w:hAnsi="Times New Roman" w:eastAsia="宋体" w:cs="Times New Roman"/>
          <w:kern w:val="0"/>
          <w:sz w:val="24"/>
          <w:u w:val="none" w:color="auto"/>
          <w:lang w:eastAsia="zh-CN"/>
        </w:rPr>
      </w:pPr>
      <w:r>
        <w:rPr>
          <w:rFonts w:hint="eastAsia" w:ascii="Times New Roman" w:hAnsi="Times New Roman" w:eastAsia="宋体" w:cs="Times New Roman"/>
          <w:kern w:val="0"/>
          <w:sz w:val="24"/>
          <w:u w:val="none" w:color="auto"/>
          <w:lang w:eastAsia="zh-CN"/>
        </w:rPr>
        <w:drawing>
          <wp:inline distT="0" distB="0" distL="114300" distR="114300">
            <wp:extent cx="5034280" cy="2703195"/>
            <wp:effectExtent l="0" t="0" r="13970" b="1905"/>
            <wp:docPr id="5" name="图表 5" descr="7b0a202020202263686172745265734964223a2022323034373437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275D57E">
      <w:pPr>
        <w:widowControl/>
        <w:overflowPunct w:val="0"/>
        <w:topLinePunct/>
        <w:spacing w:before="240" w:after="240"/>
        <w:jc w:val="center"/>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图1.收入决算图</w:t>
      </w:r>
    </w:p>
    <w:p w14:paraId="48D67248">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9" w:name="_Toc15769"/>
      <w:r>
        <w:rPr>
          <w:rFonts w:ascii="黑体" w:hAnsi="黑体" w:eastAsia="黑体" w:cs="黑体"/>
          <w:b/>
          <w:bCs/>
          <w:kern w:val="0"/>
          <w:sz w:val="32"/>
          <w:szCs w:val="32"/>
          <w:u w:val="none" w:color="auto"/>
        </w:rPr>
        <w:t>三、支出决算情况说明</w:t>
      </w:r>
      <w:bookmarkEnd w:id="9"/>
    </w:p>
    <w:p w14:paraId="1B54D966">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鄂尔多斯市总工会（部门）2023年度本年支出决算合计1747.45万元，其中：</w:t>
      </w:r>
    </w:p>
    <w:p w14:paraId="3531604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本年基本支出193.79万元，占11.09%；</w:t>
      </w:r>
    </w:p>
    <w:p w14:paraId="5A0E861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本年项目支出1553.66万元，占88.91%；</w:t>
      </w:r>
    </w:p>
    <w:p w14:paraId="7EAC5E5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本年上缴上级支出0.00万元，占0.00%；</w:t>
      </w:r>
    </w:p>
    <w:p w14:paraId="3E2156D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本年经营支出0.00万元，占0.00%；</w:t>
      </w:r>
    </w:p>
    <w:p w14:paraId="0644E64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本年对附属单位补助支出0.00万元，占0.00%。</w:t>
      </w:r>
    </w:p>
    <w:p w14:paraId="6364A0BC">
      <w:pPr>
        <w:widowControl/>
        <w:overflowPunct w:val="0"/>
        <w:topLinePunct/>
        <w:spacing w:before="240" w:after="240"/>
        <w:jc w:val="left"/>
        <w:rPr>
          <w:rFonts w:ascii="Times New Roman" w:hAnsi="Times New Roman" w:eastAsia="Times New Roman" w:cs="Times New Roman"/>
          <w:kern w:val="0"/>
          <w:sz w:val="24"/>
          <w:u w:val="none" w:color="auto"/>
        </w:rPr>
      </w:pPr>
    </w:p>
    <w:p w14:paraId="4E0C86A4">
      <w:pPr>
        <w:widowControl/>
        <w:overflowPunct w:val="0"/>
        <w:topLinePunct/>
        <w:spacing w:before="240" w:after="240"/>
        <w:jc w:val="left"/>
        <w:rPr>
          <w:rFonts w:hint="eastAsia" w:ascii="Times New Roman" w:hAnsi="Times New Roman" w:eastAsia="宋体" w:cs="Times New Roman"/>
          <w:kern w:val="0"/>
          <w:sz w:val="24"/>
          <w:u w:val="none" w:color="auto"/>
          <w:lang w:eastAsia="zh-CN"/>
        </w:rPr>
      </w:pPr>
      <w:r>
        <w:rPr>
          <w:rFonts w:hint="eastAsia" w:ascii="Times New Roman" w:hAnsi="Times New Roman" w:eastAsia="宋体" w:cs="Times New Roman"/>
          <w:kern w:val="0"/>
          <w:sz w:val="24"/>
          <w:u w:val="none" w:color="auto"/>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8255</wp:posOffset>
            </wp:positionV>
            <wp:extent cx="5256530" cy="2988310"/>
            <wp:effectExtent l="0" t="0" r="1270" b="2540"/>
            <wp:wrapTopAndBottom/>
            <wp:docPr id="6" name="图表 6" descr="7b0a202020202263686172745265734964223a2022323034373437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2686E781">
      <w:pPr>
        <w:widowControl/>
        <w:overflowPunct w:val="0"/>
        <w:topLinePunct/>
        <w:spacing w:before="240" w:after="240"/>
        <w:jc w:val="center"/>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图2.支出决算图</w:t>
      </w:r>
    </w:p>
    <w:p w14:paraId="25A42215">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0" w:name="_Toc14377"/>
      <w:r>
        <w:rPr>
          <w:rFonts w:ascii="黑体" w:hAnsi="黑体" w:eastAsia="黑体" w:cs="黑体"/>
          <w:b/>
          <w:bCs/>
          <w:kern w:val="0"/>
          <w:sz w:val="32"/>
          <w:szCs w:val="32"/>
          <w:u w:val="none" w:color="auto"/>
        </w:rPr>
        <w:t>四、财政拨款收入支出决算总体情况说明</w:t>
      </w:r>
      <w:bookmarkEnd w:id="10"/>
    </w:p>
    <w:p w14:paraId="3DD19CF6">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sz w:val="32"/>
          <w:szCs w:val="32"/>
          <w:highlight w:val="yellow"/>
          <w:u w:val="none" w:color="auto"/>
          <w:lang w:val="en-US" w:eastAsia="zh-CN"/>
        </w:rPr>
      </w:pPr>
      <w:r>
        <w:rPr>
          <w:rFonts w:hint="eastAsia" w:ascii="仿宋" w:hAnsi="仿宋" w:eastAsia="仿宋" w:cs="仿宋"/>
          <w:kern w:val="0"/>
          <w:sz w:val="32"/>
          <w:szCs w:val="32"/>
          <w:u w:val="none" w:color="auto"/>
        </w:rPr>
        <w:t>鄂尔多斯市总工会（部门）2023年度财政拨款收入、支出决算总计1747.45万元，与年初预算相比，收、支总计各增加165.61万元，增长10.47%，变动原因：</w:t>
      </w:r>
      <w:r>
        <w:rPr>
          <w:rFonts w:hint="eastAsia" w:ascii="仿宋" w:hAnsi="仿宋" w:eastAsia="仿宋" w:cs="仿宋"/>
          <w:sz w:val="32"/>
          <w:szCs w:val="32"/>
          <w:u w:val="none" w:color="auto"/>
          <w:lang w:val="en-US" w:eastAsia="zh-CN"/>
        </w:rPr>
        <w:t>年中增加两个支出项目：一是一次性抚恤金127.05万元，二是2022年度考核奖励经费50万元。</w:t>
      </w:r>
      <w:r>
        <w:rPr>
          <w:rFonts w:hint="eastAsia" w:ascii="仿宋" w:hAnsi="仿宋" w:eastAsia="仿宋" w:cs="仿宋"/>
          <w:kern w:val="0"/>
          <w:sz w:val="32"/>
          <w:szCs w:val="32"/>
          <w:u w:val="none" w:color="auto"/>
        </w:rPr>
        <w:t>与上年决算相比，收、支总计各增加294.72万元，增长20.29%，变动原因：</w:t>
      </w:r>
      <w:r>
        <w:rPr>
          <w:rFonts w:hint="eastAsia" w:ascii="仿宋" w:hAnsi="仿宋" w:eastAsia="仿宋" w:cs="仿宋"/>
          <w:sz w:val="32"/>
          <w:szCs w:val="32"/>
          <w:u w:val="none" w:color="auto"/>
          <w:lang w:val="en-US" w:eastAsia="zh-CN"/>
        </w:rPr>
        <w:t>行政事业单位工会经费增加240万元，</w:t>
      </w:r>
      <w:r>
        <w:rPr>
          <w:rFonts w:hint="eastAsia" w:ascii="仿宋" w:hAnsi="仿宋" w:eastAsia="仿宋" w:cs="仿宋"/>
          <w:sz w:val="32"/>
          <w:szCs w:val="32"/>
          <w:highlight w:val="none"/>
          <w:u w:val="none" w:color="auto"/>
          <w:lang w:val="en-US" w:eastAsia="zh-CN"/>
        </w:rPr>
        <w:t>我部门在编在岗人员的各项保险费用增加54.72万元。</w:t>
      </w:r>
    </w:p>
    <w:p w14:paraId="5EF1E09D">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1" w:name="_Toc28163"/>
      <w:r>
        <w:rPr>
          <w:rFonts w:ascii="黑体" w:hAnsi="黑体" w:eastAsia="黑体" w:cs="黑体"/>
          <w:b/>
          <w:bCs/>
          <w:kern w:val="0"/>
          <w:sz w:val="32"/>
          <w:szCs w:val="32"/>
          <w:u w:val="none" w:color="auto"/>
        </w:rPr>
        <w:t>五、一般公共预算财政拨款支出决算情况说明</w:t>
      </w:r>
      <w:bookmarkEnd w:id="11"/>
    </w:p>
    <w:p w14:paraId="0F162CB1">
      <w:pPr>
        <w:widowControl/>
        <w:overflowPunct w:val="0"/>
        <w:topLinePunct/>
        <w:spacing w:before="240" w:after="240"/>
        <w:ind w:firstLine="628" w:firstLineChars="200"/>
        <w:rPr>
          <w:rFonts w:hint="eastAsia" w:ascii="仿宋" w:hAnsi="仿宋" w:eastAsia="仿宋" w:cs="仿宋"/>
          <w:kern w:val="0"/>
          <w:sz w:val="32"/>
          <w:szCs w:val="32"/>
          <w:highlight w:val="none"/>
          <w:u w:val="none" w:color="auto"/>
        </w:rPr>
      </w:pPr>
      <w:r>
        <w:rPr>
          <w:rFonts w:hint="eastAsia" w:ascii="仿宋" w:hAnsi="仿宋" w:eastAsia="仿宋" w:cs="仿宋"/>
          <w:kern w:val="0"/>
          <w:sz w:val="32"/>
          <w:szCs w:val="32"/>
          <w:highlight w:val="none"/>
          <w:u w:val="none" w:color="auto"/>
        </w:rPr>
        <w:t>鄂尔多斯市总工会（部门）2023年度一般公共预算财政拨款支出决算1747.45万元。与年初预算1581.84万元相比，完成年初预算的110.47%。其中：</w:t>
      </w:r>
    </w:p>
    <w:p w14:paraId="733DA71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（一）一般公共服务（类）</w:t>
      </w:r>
    </w:p>
    <w:p w14:paraId="2681BCA6">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一般公共服务类决算数为1408.90万元，与年初预算相比增加44.79万元。其中：</w:t>
      </w:r>
    </w:p>
    <w:p w14:paraId="09E5E299">
      <w:pPr>
        <w:widowControl/>
        <w:overflowPunct w:val="0"/>
        <w:topLinePunct/>
        <w:spacing w:before="240" w:after="240"/>
        <w:ind w:firstLine="628" w:firstLineChars="200"/>
        <w:rPr>
          <w:rFonts w:hint="eastAsia" w:ascii="仿宋" w:hAnsi="仿宋" w:eastAsia="仿宋" w:cs="仿宋"/>
          <w:kern w:val="0"/>
          <w:sz w:val="32"/>
          <w:szCs w:val="32"/>
          <w:u w:val="none" w:color="auto"/>
          <w:lang w:val="en-US" w:eastAsia="zh-CN"/>
        </w:rPr>
      </w:pPr>
      <w:r>
        <w:rPr>
          <w:rFonts w:hint="eastAsia" w:ascii="仿宋" w:hAnsi="仿宋" w:cs="仿宋"/>
          <w:kern w:val="0"/>
          <w:sz w:val="32"/>
          <w:szCs w:val="32"/>
          <w:u w:val="none" w:color="auto"/>
          <w:lang w:val="en-US" w:eastAsia="zh-CN"/>
        </w:rPr>
        <w:t>1</w:t>
      </w:r>
      <w:r>
        <w:rPr>
          <w:rFonts w:hint="eastAsia" w:ascii="仿宋" w:hAnsi="仿宋" w:eastAsia="仿宋" w:cs="仿宋"/>
          <w:kern w:val="0"/>
          <w:sz w:val="32"/>
          <w:szCs w:val="32"/>
          <w:u w:val="none" w:color="auto"/>
        </w:rPr>
        <w:t>．</w:t>
      </w:r>
      <w:r>
        <w:rPr>
          <w:rFonts w:hint="eastAsia" w:ascii="仿宋" w:hAnsi="仿宋" w:eastAsia="仿宋" w:cs="仿宋"/>
          <w:kern w:val="0"/>
          <w:sz w:val="32"/>
          <w:szCs w:val="32"/>
          <w:u w:val="none" w:color="auto"/>
          <w:lang w:val="en-US" w:eastAsia="zh-CN"/>
        </w:rPr>
        <w:t>纪检监察事务</w:t>
      </w:r>
      <w:r>
        <w:rPr>
          <w:rFonts w:hint="eastAsia" w:ascii="仿宋" w:hAnsi="仿宋" w:eastAsia="仿宋" w:cs="仿宋"/>
          <w:kern w:val="0"/>
          <w:sz w:val="32"/>
          <w:szCs w:val="32"/>
          <w:u w:val="none" w:color="auto"/>
        </w:rPr>
        <w:t>（款）</w:t>
      </w:r>
      <w:r>
        <w:rPr>
          <w:rFonts w:hint="eastAsia" w:ascii="仿宋" w:hAnsi="仿宋" w:eastAsia="仿宋" w:cs="仿宋"/>
          <w:kern w:val="0"/>
          <w:sz w:val="32"/>
          <w:szCs w:val="32"/>
          <w:u w:val="none" w:color="auto"/>
          <w:lang w:val="en-US" w:eastAsia="zh-CN"/>
        </w:rPr>
        <w:t>派驻派出机构</w:t>
      </w:r>
      <w:r>
        <w:rPr>
          <w:rFonts w:hint="eastAsia" w:ascii="仿宋" w:hAnsi="仿宋" w:eastAsia="仿宋" w:cs="仿宋"/>
          <w:kern w:val="0"/>
          <w:sz w:val="32"/>
          <w:szCs w:val="32"/>
          <w:u w:val="none" w:color="auto"/>
        </w:rPr>
        <w:t>（项）。</w:t>
      </w:r>
      <w:r>
        <w:rPr>
          <w:rFonts w:hint="eastAsia" w:ascii="仿宋" w:hAnsi="仿宋" w:eastAsia="仿宋" w:cs="仿宋"/>
          <w:kern w:val="0"/>
          <w:sz w:val="32"/>
          <w:szCs w:val="32"/>
          <w:u w:val="none" w:color="auto"/>
          <w:lang w:val="en-US" w:eastAsia="zh-CN"/>
        </w:rPr>
        <w:t>年初预算10万元，支出预算7.09万元，完成年初预算70.9%。决算数与年初预算数的差异原因：因派驻人员抽调，经费不从本单位支出。</w:t>
      </w:r>
    </w:p>
    <w:p w14:paraId="1F2DA925">
      <w:pPr>
        <w:widowControl/>
        <w:overflowPunct w:val="0"/>
        <w:topLinePunct/>
        <w:spacing w:before="240" w:after="240"/>
        <w:ind w:firstLine="628" w:firstLineChars="200"/>
        <w:rPr>
          <w:rFonts w:hint="default" w:ascii="仿宋" w:hAnsi="仿宋" w:eastAsia="仿宋" w:cs="仿宋"/>
          <w:kern w:val="0"/>
          <w:sz w:val="32"/>
          <w:szCs w:val="32"/>
          <w:u w:val="none" w:color="auto"/>
          <w:lang w:val="en-US" w:eastAsia="zh-CN"/>
        </w:rPr>
      </w:pPr>
      <w:r>
        <w:rPr>
          <w:rFonts w:hint="eastAsia" w:ascii="仿宋" w:hAnsi="仿宋" w:cs="仿宋"/>
          <w:kern w:val="0"/>
          <w:sz w:val="32"/>
          <w:szCs w:val="32"/>
          <w:u w:val="none" w:color="auto"/>
          <w:lang w:val="en-US" w:eastAsia="zh-CN"/>
        </w:rPr>
        <w:t>2</w:t>
      </w:r>
      <w:r>
        <w:rPr>
          <w:rFonts w:hint="eastAsia" w:ascii="仿宋" w:hAnsi="仿宋" w:eastAsia="仿宋" w:cs="仿宋"/>
          <w:kern w:val="0"/>
          <w:sz w:val="32"/>
          <w:szCs w:val="32"/>
          <w:u w:val="none" w:color="auto"/>
          <w:lang w:val="en-US" w:eastAsia="zh-CN"/>
        </w:rPr>
        <w:t>.群众团体事务（款）行政运行（项）。年初预算60.18万元，支出预算52.85万元，完成年初预算的87.82%。决算数与年初预算数的差异原因：退休人员停止发放交通补贴</w:t>
      </w:r>
    </w:p>
    <w:p w14:paraId="2B1123FA">
      <w:pPr>
        <w:widowControl/>
        <w:overflowPunct w:val="0"/>
        <w:topLinePunct/>
        <w:spacing w:before="240" w:after="240"/>
        <w:ind w:firstLine="628" w:firstLineChars="200"/>
        <w:rPr>
          <w:rFonts w:hint="eastAsia" w:ascii="仿宋_GB2312" w:hAnsi="仿宋_GB2312" w:eastAsia="仿宋_GB2312" w:cs="仿宋_GB2312"/>
          <w:kern w:val="0"/>
          <w:sz w:val="32"/>
          <w:szCs w:val="32"/>
          <w:highlight w:val="none"/>
          <w:u w:val="none" w:color="auto"/>
          <w:lang w:val="en-US" w:eastAsia="zh-CN"/>
        </w:rPr>
      </w:pPr>
      <w:r>
        <w:rPr>
          <w:rFonts w:hint="eastAsia" w:ascii="仿宋_GB2312" w:hAnsi="仿宋_GB2312" w:eastAsia="仿宋_GB2312" w:cs="仿宋_GB2312"/>
          <w:kern w:val="0"/>
          <w:sz w:val="32"/>
          <w:szCs w:val="32"/>
          <w:highlight w:val="none"/>
          <w:u w:val="none" w:color="auto"/>
          <w:lang w:val="en-US" w:eastAsia="zh-CN"/>
        </w:rPr>
        <w:t>3</w:t>
      </w:r>
      <w:r>
        <w:rPr>
          <w:rFonts w:hint="eastAsia" w:ascii="仿宋_GB2312" w:hAnsi="仿宋_GB2312" w:eastAsia="仿宋_GB2312" w:cs="仿宋_GB2312"/>
          <w:kern w:val="0"/>
          <w:sz w:val="32"/>
          <w:szCs w:val="32"/>
          <w:highlight w:val="none"/>
          <w:u w:val="none" w:color="auto"/>
        </w:rPr>
        <w:t>.群众团体事务（款）事业运行（项）。</w:t>
      </w:r>
      <w:r>
        <w:rPr>
          <w:rFonts w:hint="eastAsia" w:ascii="仿宋_GB2312" w:hAnsi="仿宋_GB2312" w:eastAsia="仿宋_GB2312" w:cs="仿宋_GB2312"/>
          <w:kern w:val="0"/>
          <w:sz w:val="32"/>
          <w:szCs w:val="32"/>
          <w:highlight w:val="none"/>
          <w:u w:val="none" w:color="auto"/>
          <w:lang w:val="en-US" w:eastAsia="zh-CN"/>
        </w:rPr>
        <w:t>年初预算307.83万元，支出预算306.81万元，完成年初预算的99.67%。决算数与年初预算数的差异原因：根据实际发生额支出。</w:t>
      </w:r>
    </w:p>
    <w:p w14:paraId="1B3C0AC3">
      <w:pPr>
        <w:widowControl/>
        <w:overflowPunct w:val="0"/>
        <w:topLinePunct/>
        <w:spacing w:before="240" w:after="240"/>
        <w:ind w:firstLine="628" w:firstLineChars="200"/>
        <w:rPr>
          <w:rFonts w:hint="default" w:ascii="仿宋" w:hAnsi="仿宋" w:eastAsia="仿宋" w:cs="仿宋"/>
          <w:kern w:val="0"/>
          <w:sz w:val="32"/>
          <w:szCs w:val="32"/>
          <w:u w:val="none" w:color="auto"/>
          <w:lang w:val="en-US" w:eastAsia="zh-CN"/>
        </w:rPr>
      </w:pPr>
      <w:r>
        <w:rPr>
          <w:rFonts w:hint="eastAsia" w:ascii="仿宋" w:hAnsi="仿宋" w:cs="仿宋"/>
          <w:kern w:val="0"/>
          <w:sz w:val="32"/>
          <w:szCs w:val="32"/>
          <w:u w:val="none" w:color="auto"/>
          <w:lang w:val="en-US" w:eastAsia="zh-CN"/>
        </w:rPr>
        <w:t>4</w:t>
      </w:r>
      <w:r>
        <w:rPr>
          <w:rFonts w:hint="eastAsia" w:ascii="仿宋" w:hAnsi="仿宋" w:eastAsia="仿宋" w:cs="仿宋"/>
          <w:kern w:val="0"/>
          <w:sz w:val="32"/>
          <w:szCs w:val="32"/>
          <w:u w:val="none" w:color="auto"/>
          <w:lang w:val="en-US" w:eastAsia="zh-CN"/>
        </w:rPr>
        <w:t>.群众团体事务（款）其他群众团体事务支出（项）。年初预算988万元，支出预算1042.16万元，完成年初预算的105.48%。决算数与年初预算数的差异原因：年中新增2022年度考核奖励经费项目50万元。</w:t>
      </w:r>
    </w:p>
    <w:p w14:paraId="2E4A40F1">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cs="仿宋"/>
          <w:b/>
          <w:bCs/>
          <w:kern w:val="0"/>
          <w:sz w:val="32"/>
          <w:szCs w:val="32"/>
          <w:u w:val="none" w:color="auto"/>
          <w:lang w:eastAsia="zh-CN"/>
        </w:rPr>
        <w:t>二</w:t>
      </w:r>
      <w:r>
        <w:rPr>
          <w:rFonts w:hint="eastAsia" w:ascii="仿宋" w:hAnsi="仿宋" w:eastAsia="仿宋" w:cs="仿宋"/>
          <w:b/>
          <w:bCs/>
          <w:kern w:val="0"/>
          <w:sz w:val="32"/>
          <w:szCs w:val="32"/>
          <w:u w:val="none" w:color="auto"/>
        </w:rPr>
        <w:t>）社会保障和就业支出（类）</w:t>
      </w:r>
    </w:p>
    <w:p w14:paraId="04A4F220">
      <w:pPr>
        <w:widowControl/>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社会保障和就业支出类决算数为254.68万元，与年初预算相比增加118.99万元。其中：</w:t>
      </w:r>
    </w:p>
    <w:p w14:paraId="690FCFFB">
      <w:pPr>
        <w:widowControl/>
        <w:numPr>
          <w:ilvl w:val="0"/>
          <w:numId w:val="2"/>
        </w:numPr>
        <w:overflowPunct w:val="0"/>
        <w:topLinePunct/>
        <w:spacing w:before="240" w:after="240"/>
        <w:ind w:firstLine="628" w:firstLineChars="200"/>
        <w:jc w:val="left"/>
        <w:rPr>
          <w:rFonts w:hint="eastAsia" w:ascii="仿宋" w:hAnsi="仿宋" w:cs="仿宋"/>
          <w:kern w:val="0"/>
          <w:sz w:val="32"/>
          <w:szCs w:val="32"/>
          <w:u w:val="none" w:color="auto"/>
          <w:lang w:val="en-US" w:eastAsia="zh-CN"/>
        </w:rPr>
      </w:pPr>
      <w:r>
        <w:rPr>
          <w:rFonts w:hint="eastAsia" w:ascii="仿宋" w:hAnsi="仿宋" w:eastAsia="仿宋" w:cs="仿宋"/>
          <w:kern w:val="0"/>
          <w:sz w:val="32"/>
          <w:szCs w:val="32"/>
          <w:u w:val="none" w:color="auto"/>
        </w:rPr>
        <w:t>行政事业单位养老支出（款）行政单位离退休（项）。年初预算</w:t>
      </w:r>
      <w:r>
        <w:rPr>
          <w:rFonts w:hint="eastAsia" w:ascii="仿宋" w:hAnsi="仿宋" w:cs="仿宋"/>
          <w:kern w:val="0"/>
          <w:sz w:val="32"/>
          <w:szCs w:val="32"/>
          <w:u w:val="none" w:color="auto"/>
          <w:lang w:val="en-US" w:eastAsia="zh-CN"/>
        </w:rPr>
        <w:t>34.79</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32.8</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94.28</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2名退休人员离世</w:t>
      </w:r>
    </w:p>
    <w:p w14:paraId="05631A66">
      <w:pPr>
        <w:widowControl/>
        <w:numPr>
          <w:ilvl w:val="0"/>
          <w:numId w:val="0"/>
        </w:numPr>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2．行政事业单位养老支出（款）事业单位离退休（项）。年初预算</w:t>
      </w:r>
      <w:r>
        <w:rPr>
          <w:rFonts w:hint="eastAsia" w:ascii="仿宋" w:hAnsi="仿宋" w:cs="仿宋"/>
          <w:kern w:val="0"/>
          <w:sz w:val="32"/>
          <w:szCs w:val="32"/>
          <w:u w:val="none" w:color="auto"/>
          <w:lang w:val="en-US" w:eastAsia="zh-CN"/>
        </w:rPr>
        <w:t>11.69</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12.28</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105.05</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增加一名退休人员</w:t>
      </w:r>
      <w:r>
        <w:rPr>
          <w:rFonts w:hint="eastAsia" w:ascii="仿宋" w:hAnsi="仿宋" w:eastAsia="仿宋" w:cs="仿宋"/>
          <w:kern w:val="0"/>
          <w:sz w:val="32"/>
          <w:szCs w:val="32"/>
          <w:u w:val="none" w:color="auto"/>
        </w:rPr>
        <w:t>。</w:t>
      </w:r>
    </w:p>
    <w:p w14:paraId="3E7B5ADB">
      <w:pPr>
        <w:widowControl/>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3．行政事业单位养老支出（款）机关事业单位基本养老保险缴费支出（项）。年初预算</w:t>
      </w:r>
      <w:r>
        <w:rPr>
          <w:rFonts w:hint="eastAsia" w:ascii="仿宋" w:hAnsi="仿宋" w:cs="仿宋"/>
          <w:kern w:val="0"/>
          <w:sz w:val="32"/>
          <w:szCs w:val="32"/>
          <w:u w:val="none" w:color="auto"/>
          <w:lang w:val="en-US" w:eastAsia="zh-CN"/>
        </w:rPr>
        <w:t>60</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54.72</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91.2</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年初预算上浮10%</w:t>
      </w:r>
      <w:r>
        <w:rPr>
          <w:rFonts w:hint="eastAsia" w:ascii="仿宋" w:hAnsi="仿宋" w:eastAsia="仿宋" w:cs="仿宋"/>
          <w:kern w:val="0"/>
          <w:sz w:val="32"/>
          <w:szCs w:val="32"/>
          <w:u w:val="none" w:color="auto"/>
        </w:rPr>
        <w:t>。</w:t>
      </w:r>
    </w:p>
    <w:p w14:paraId="2C6615E4">
      <w:pPr>
        <w:widowControl/>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4．行政事业单位养老支出（款）机关事业单位职业年金缴费支出（项）。年初预算</w:t>
      </w:r>
      <w:r>
        <w:rPr>
          <w:rFonts w:hint="eastAsia" w:ascii="仿宋" w:hAnsi="仿宋" w:cs="仿宋"/>
          <w:kern w:val="0"/>
          <w:sz w:val="32"/>
          <w:szCs w:val="32"/>
          <w:u w:val="none" w:color="auto"/>
          <w:lang w:val="en-US" w:eastAsia="zh-CN"/>
        </w:rPr>
        <w:t>30</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27.36</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91.2</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年初预算上浮10%</w:t>
      </w:r>
      <w:r>
        <w:rPr>
          <w:rFonts w:hint="eastAsia" w:ascii="仿宋" w:hAnsi="仿宋" w:eastAsia="仿宋" w:cs="仿宋"/>
          <w:kern w:val="0"/>
          <w:sz w:val="32"/>
          <w:szCs w:val="32"/>
          <w:u w:val="none" w:color="auto"/>
        </w:rPr>
        <w:t>。</w:t>
      </w:r>
    </w:p>
    <w:p w14:paraId="222613C9">
      <w:pPr>
        <w:widowControl/>
        <w:overflowPunct w:val="0"/>
        <w:topLinePunct/>
        <w:spacing w:before="240" w:after="240"/>
        <w:ind w:firstLine="628" w:firstLineChars="200"/>
        <w:jc w:val="left"/>
        <w:rPr>
          <w:rFonts w:hint="eastAsia" w:ascii="仿宋" w:hAnsi="仿宋" w:cs="仿宋"/>
          <w:kern w:val="0"/>
          <w:sz w:val="32"/>
          <w:szCs w:val="32"/>
          <w:u w:val="none" w:color="auto"/>
          <w:lang w:val="en-US" w:eastAsia="zh-CN"/>
        </w:rPr>
      </w:pPr>
      <w:r>
        <w:rPr>
          <w:rFonts w:hint="eastAsia" w:ascii="仿宋" w:hAnsi="仿宋" w:cs="仿宋"/>
          <w:kern w:val="0"/>
          <w:sz w:val="32"/>
          <w:szCs w:val="32"/>
          <w:u w:val="none" w:color="auto"/>
          <w:lang w:val="en-US" w:eastAsia="zh-CN"/>
        </w:rPr>
        <w:t>5.抚恤</w:t>
      </w:r>
      <w:r>
        <w:rPr>
          <w:rFonts w:hint="eastAsia" w:ascii="仿宋" w:hAnsi="仿宋" w:eastAsia="仿宋" w:cs="仿宋"/>
          <w:kern w:val="0"/>
          <w:sz w:val="32"/>
          <w:szCs w:val="32"/>
          <w:u w:val="none" w:color="auto"/>
        </w:rPr>
        <w:t>（款）</w:t>
      </w:r>
      <w:r>
        <w:rPr>
          <w:rFonts w:hint="eastAsia" w:ascii="仿宋" w:hAnsi="仿宋" w:cs="仿宋"/>
          <w:kern w:val="0"/>
          <w:sz w:val="32"/>
          <w:szCs w:val="32"/>
          <w:u w:val="none" w:color="auto"/>
          <w:lang w:val="en-US" w:eastAsia="zh-CN"/>
        </w:rPr>
        <w:t>死亡抚恤（项）。年初预算0万元，支出预算127.05万元，</w:t>
      </w:r>
      <w:r>
        <w:rPr>
          <w:rFonts w:hint="eastAsia" w:ascii="仿宋" w:hAnsi="仿宋" w:cs="仿宋"/>
          <w:kern w:val="0"/>
          <w:sz w:val="32"/>
          <w:szCs w:val="32"/>
          <w:highlight w:val="none"/>
          <w:u w:val="none" w:color="auto"/>
          <w:lang w:val="en-US" w:eastAsia="zh-CN"/>
        </w:rPr>
        <w:t>完成年初预算的127.05%。</w:t>
      </w:r>
      <w:r>
        <w:rPr>
          <w:rFonts w:hint="eastAsia" w:ascii="仿宋" w:hAnsi="仿宋" w:cs="仿宋"/>
          <w:kern w:val="0"/>
          <w:sz w:val="32"/>
          <w:szCs w:val="32"/>
          <w:u w:val="none" w:color="auto"/>
          <w:lang w:val="en-US" w:eastAsia="zh-CN"/>
        </w:rPr>
        <w:t>决算数与年初预算数的差异原因：2名退休人员离世，发放的死亡抚恤。</w:t>
      </w:r>
    </w:p>
    <w:p w14:paraId="2998A9ED">
      <w:pPr>
        <w:widowControl/>
        <w:overflowPunct w:val="0"/>
        <w:topLinePunct/>
        <w:spacing w:before="240" w:after="240"/>
        <w:ind w:firstLine="628" w:firstLineChars="200"/>
        <w:jc w:val="left"/>
        <w:rPr>
          <w:rFonts w:hint="default" w:ascii="仿宋" w:hAnsi="仿宋" w:cs="仿宋"/>
          <w:b w:val="0"/>
          <w:bCs w:val="0"/>
          <w:kern w:val="0"/>
          <w:sz w:val="32"/>
          <w:szCs w:val="32"/>
          <w:u w:val="none" w:color="auto"/>
          <w:lang w:val="en-US" w:eastAsia="zh-CN"/>
        </w:rPr>
      </w:pPr>
      <w:r>
        <w:rPr>
          <w:rFonts w:hint="eastAsia" w:ascii="仿宋" w:hAnsi="仿宋" w:cs="仿宋"/>
          <w:kern w:val="0"/>
          <w:sz w:val="32"/>
          <w:szCs w:val="32"/>
          <w:u w:val="none" w:color="auto"/>
          <w:lang w:val="en-US" w:eastAsia="zh-CN"/>
        </w:rPr>
        <w:t>6.其他社会保障和就业支出（款）其他社会保障和就业支出（项）。年初预算0.7万元，支出预算0.47万元，完成年初预算的67.14%。决算数与年初预算数的差异原因：</w:t>
      </w:r>
      <w:r>
        <w:rPr>
          <w:rFonts w:hint="eastAsia" w:ascii="仿宋" w:hAnsi="仿宋" w:cs="仿宋"/>
          <w:b w:val="0"/>
          <w:bCs w:val="0"/>
          <w:kern w:val="0"/>
          <w:sz w:val="32"/>
          <w:szCs w:val="32"/>
          <w:u w:val="none" w:color="auto"/>
          <w:lang w:val="en-US" w:eastAsia="zh-CN"/>
        </w:rPr>
        <w:t>年初预算上浮。</w:t>
      </w:r>
    </w:p>
    <w:p w14:paraId="751A94F7">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cs="仿宋"/>
          <w:b/>
          <w:bCs/>
          <w:kern w:val="0"/>
          <w:sz w:val="32"/>
          <w:szCs w:val="32"/>
          <w:u w:val="none" w:color="auto"/>
          <w:lang w:eastAsia="zh-CN"/>
        </w:rPr>
        <w:t>三</w:t>
      </w:r>
      <w:r>
        <w:rPr>
          <w:rFonts w:hint="eastAsia" w:ascii="仿宋" w:hAnsi="仿宋" w:eastAsia="仿宋" w:cs="仿宋"/>
          <w:b/>
          <w:bCs/>
          <w:kern w:val="0"/>
          <w:sz w:val="32"/>
          <w:szCs w:val="32"/>
          <w:u w:val="none" w:color="auto"/>
        </w:rPr>
        <w:t>）卫生健康支出（类）</w:t>
      </w:r>
    </w:p>
    <w:p w14:paraId="6355F8BC">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卫生健康支出类决算数为30.42万元，与年初预算相比减少</w:t>
      </w:r>
      <w:r>
        <w:rPr>
          <w:rFonts w:hint="eastAsia" w:ascii="仿宋" w:hAnsi="仿宋" w:cs="仿宋"/>
          <w:kern w:val="0"/>
          <w:sz w:val="32"/>
          <w:szCs w:val="32"/>
          <w:highlight w:val="none"/>
          <w:u w:val="none" w:color="auto"/>
          <w:lang w:val="en-US" w:eastAsia="zh-CN"/>
        </w:rPr>
        <w:t>1.88</w:t>
      </w:r>
      <w:r>
        <w:rPr>
          <w:rFonts w:hint="eastAsia" w:ascii="仿宋" w:hAnsi="仿宋" w:eastAsia="仿宋" w:cs="仿宋"/>
          <w:kern w:val="0"/>
          <w:sz w:val="32"/>
          <w:szCs w:val="32"/>
          <w:highlight w:val="none"/>
          <w:u w:val="none" w:color="auto"/>
        </w:rPr>
        <w:t>万元</w:t>
      </w:r>
      <w:r>
        <w:rPr>
          <w:rFonts w:hint="eastAsia" w:ascii="仿宋" w:hAnsi="仿宋" w:eastAsia="仿宋" w:cs="仿宋"/>
          <w:kern w:val="0"/>
          <w:sz w:val="32"/>
          <w:szCs w:val="32"/>
          <w:u w:val="none" w:color="auto"/>
        </w:rPr>
        <w:t>。其中：</w:t>
      </w:r>
    </w:p>
    <w:p w14:paraId="0D0C061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1．行政事业单位医疗（款）行政单位医疗（项）。年初预算</w:t>
      </w:r>
      <w:r>
        <w:rPr>
          <w:rFonts w:hint="eastAsia" w:ascii="仿宋" w:hAnsi="仿宋" w:cs="仿宋"/>
          <w:kern w:val="0"/>
          <w:sz w:val="32"/>
          <w:szCs w:val="32"/>
          <w:u w:val="none" w:color="auto"/>
          <w:lang w:val="en-US" w:eastAsia="zh-CN"/>
        </w:rPr>
        <w:t>12.5</w:t>
      </w:r>
      <w:r>
        <w:rPr>
          <w:rFonts w:hint="eastAsia" w:ascii="仿宋" w:hAnsi="仿宋" w:eastAsia="仿宋" w:cs="仿宋"/>
          <w:kern w:val="0"/>
          <w:sz w:val="32"/>
          <w:szCs w:val="32"/>
          <w:u w:val="none" w:color="auto"/>
        </w:rPr>
        <w:t>万元，支出决</w:t>
      </w:r>
      <w:r>
        <w:rPr>
          <w:rFonts w:hint="eastAsia" w:ascii="仿宋" w:hAnsi="仿宋" w:cs="仿宋"/>
          <w:kern w:val="0"/>
          <w:sz w:val="32"/>
          <w:szCs w:val="32"/>
          <w:u w:val="none" w:color="auto"/>
          <w:lang w:val="en-US" w:eastAsia="zh-CN"/>
        </w:rPr>
        <w:t>13.84</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110.72</w:t>
      </w:r>
      <w:r>
        <w:rPr>
          <w:rFonts w:hint="eastAsia" w:ascii="仿宋" w:hAnsi="仿宋" w:eastAsia="仿宋" w:cs="仿宋"/>
          <w:kern w:val="0"/>
          <w:sz w:val="32"/>
          <w:szCs w:val="32"/>
          <w:u w:val="none" w:color="auto"/>
        </w:rPr>
        <w:t>%。决</w:t>
      </w:r>
      <w:r>
        <w:rPr>
          <w:rFonts w:hint="eastAsia" w:ascii="仿宋" w:hAnsi="仿宋" w:eastAsia="仿宋" w:cs="仿宋"/>
          <w:spacing w:val="7"/>
          <w:kern w:val="0"/>
          <w:sz w:val="32"/>
          <w:szCs w:val="32"/>
          <w:u w:val="none" w:color="auto"/>
        </w:rPr>
        <w:t>算数与年初预算数的差异原因：</w:t>
      </w:r>
      <w:r>
        <w:rPr>
          <w:rFonts w:hint="eastAsia" w:ascii="仿宋" w:hAnsi="仿宋" w:cs="仿宋"/>
          <w:spacing w:val="7"/>
          <w:kern w:val="0"/>
          <w:sz w:val="32"/>
          <w:szCs w:val="32"/>
          <w:u w:val="none" w:color="auto"/>
          <w:lang w:val="en-US" w:eastAsia="zh-CN"/>
        </w:rPr>
        <w:t>医保基数调</w:t>
      </w:r>
      <w:r>
        <w:rPr>
          <w:rFonts w:hint="eastAsia" w:ascii="仿宋" w:hAnsi="仿宋" w:cs="仿宋"/>
          <w:spacing w:val="8"/>
          <w:kern w:val="0"/>
          <w:sz w:val="32"/>
          <w:szCs w:val="32"/>
          <w:u w:val="none" w:color="auto"/>
          <w:lang w:val="en-US" w:eastAsia="zh-CN"/>
        </w:rPr>
        <w:t>整</w:t>
      </w:r>
      <w:r>
        <w:rPr>
          <w:rFonts w:hint="eastAsia" w:ascii="仿宋" w:hAnsi="仿宋" w:cs="仿宋"/>
          <w:spacing w:val="7"/>
          <w:kern w:val="0"/>
          <w:sz w:val="32"/>
          <w:szCs w:val="32"/>
          <w:u w:val="none" w:color="auto"/>
          <w:lang w:val="en-US" w:eastAsia="zh-CN"/>
        </w:rPr>
        <w:t>，缴纳金</w:t>
      </w:r>
      <w:r>
        <w:rPr>
          <w:rFonts w:hint="eastAsia" w:ascii="仿宋" w:hAnsi="仿宋" w:cs="仿宋"/>
          <w:spacing w:val="-6"/>
          <w:kern w:val="0"/>
          <w:sz w:val="32"/>
          <w:szCs w:val="32"/>
          <w:u w:val="none" w:color="auto"/>
          <w:lang w:val="en-US" w:eastAsia="zh-CN"/>
        </w:rPr>
        <w:t>额</w:t>
      </w:r>
      <w:r>
        <w:rPr>
          <w:rFonts w:hint="eastAsia" w:ascii="仿宋" w:hAnsi="仿宋" w:cs="仿宋"/>
          <w:kern w:val="0"/>
          <w:sz w:val="32"/>
          <w:szCs w:val="32"/>
          <w:u w:val="none" w:color="auto"/>
          <w:lang w:val="en-US" w:eastAsia="zh-CN"/>
        </w:rPr>
        <w:t>增加</w:t>
      </w:r>
      <w:r>
        <w:rPr>
          <w:rFonts w:hint="eastAsia" w:ascii="仿宋" w:hAnsi="仿宋" w:eastAsia="仿宋" w:cs="仿宋"/>
          <w:kern w:val="0"/>
          <w:sz w:val="32"/>
          <w:szCs w:val="32"/>
          <w:u w:val="none" w:color="auto"/>
        </w:rPr>
        <w:t>。</w:t>
      </w:r>
    </w:p>
    <w:p w14:paraId="10DBF035">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2．行政事业单位医疗（款）事业单位医疗（项）。年初预算</w:t>
      </w:r>
      <w:r>
        <w:rPr>
          <w:rFonts w:hint="eastAsia" w:ascii="仿宋" w:hAnsi="仿宋" w:cs="仿宋"/>
          <w:kern w:val="0"/>
          <w:sz w:val="32"/>
          <w:szCs w:val="32"/>
          <w:u w:val="none" w:color="auto"/>
          <w:lang w:val="en-US" w:eastAsia="zh-CN"/>
        </w:rPr>
        <w:t>19.8</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16.58</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83.73</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一是年初预算上浮10%，二是人员减少</w:t>
      </w:r>
      <w:r>
        <w:rPr>
          <w:rFonts w:hint="eastAsia" w:ascii="仿宋" w:hAnsi="仿宋" w:eastAsia="仿宋" w:cs="仿宋"/>
          <w:kern w:val="0"/>
          <w:sz w:val="32"/>
          <w:szCs w:val="32"/>
          <w:u w:val="none" w:color="auto"/>
        </w:rPr>
        <w:t>。</w:t>
      </w:r>
    </w:p>
    <w:p w14:paraId="235DC76D">
      <w:pPr>
        <w:widowControl/>
        <w:overflowPunct w:val="0"/>
        <w:topLinePunct/>
        <w:spacing w:before="240" w:after="240"/>
        <w:jc w:val="left"/>
        <w:rPr>
          <w:rFonts w:hint="eastAsia" w:ascii="仿宋" w:hAnsi="仿宋" w:eastAsia="仿宋" w:cs="仿宋"/>
          <w:b/>
          <w:bCs/>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cs="仿宋"/>
          <w:b/>
          <w:bCs/>
          <w:kern w:val="0"/>
          <w:sz w:val="32"/>
          <w:szCs w:val="32"/>
          <w:u w:val="none" w:color="auto"/>
          <w:lang w:eastAsia="zh-CN"/>
        </w:rPr>
        <w:t>四</w:t>
      </w:r>
      <w:r>
        <w:rPr>
          <w:rFonts w:hint="eastAsia" w:ascii="仿宋" w:hAnsi="仿宋" w:eastAsia="仿宋" w:cs="仿宋"/>
          <w:b/>
          <w:bCs/>
          <w:kern w:val="0"/>
          <w:sz w:val="32"/>
          <w:szCs w:val="32"/>
          <w:u w:val="none" w:color="auto"/>
        </w:rPr>
        <w:t>）住房保障支出（类）</w:t>
      </w:r>
    </w:p>
    <w:p w14:paraId="171BD9A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住房保障支出类决算数为53.45万元，与年初预算相比增加</w:t>
      </w:r>
      <w:r>
        <w:rPr>
          <w:rFonts w:hint="eastAsia" w:ascii="仿宋" w:hAnsi="仿宋" w:cs="仿宋"/>
          <w:kern w:val="0"/>
          <w:sz w:val="32"/>
          <w:szCs w:val="32"/>
          <w:u w:val="none" w:color="auto"/>
          <w:lang w:val="en-US" w:eastAsia="zh-CN"/>
        </w:rPr>
        <w:t>1.45</w:t>
      </w:r>
      <w:r>
        <w:rPr>
          <w:rFonts w:hint="eastAsia" w:ascii="仿宋" w:hAnsi="仿宋" w:eastAsia="仿宋" w:cs="仿宋"/>
          <w:kern w:val="0"/>
          <w:sz w:val="32"/>
          <w:szCs w:val="32"/>
          <w:u w:val="none" w:color="auto"/>
        </w:rPr>
        <w:t>万元。其中：</w:t>
      </w:r>
    </w:p>
    <w:p w14:paraId="7F541F38">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1．住房改革支出（款）住房公积金（项）。年初预算</w:t>
      </w:r>
      <w:r>
        <w:rPr>
          <w:rFonts w:hint="eastAsia" w:ascii="仿宋" w:hAnsi="仿宋" w:cs="仿宋"/>
          <w:kern w:val="0"/>
          <w:sz w:val="32"/>
          <w:szCs w:val="32"/>
          <w:u w:val="none" w:color="auto"/>
          <w:lang w:val="en-US" w:eastAsia="zh-CN"/>
        </w:rPr>
        <w:t>52</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53.45</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102.79</w:t>
      </w:r>
      <w:r>
        <w:rPr>
          <w:rFonts w:hint="eastAsia" w:ascii="仿宋" w:hAnsi="仿宋" w:eastAsia="仿宋" w:cs="仿宋"/>
          <w:kern w:val="0"/>
          <w:sz w:val="32"/>
          <w:szCs w:val="32"/>
          <w:u w:val="none" w:color="auto"/>
        </w:rPr>
        <w:t>%。决算数与年</w:t>
      </w:r>
      <w:r>
        <w:rPr>
          <w:rFonts w:hint="eastAsia" w:ascii="仿宋" w:hAnsi="仿宋" w:eastAsia="仿宋" w:cs="仿宋"/>
          <w:spacing w:val="-6"/>
          <w:kern w:val="0"/>
          <w:sz w:val="32"/>
          <w:szCs w:val="32"/>
          <w:u w:val="none" w:color="auto"/>
        </w:rPr>
        <w:t>初预算数的差异原因：</w:t>
      </w:r>
      <w:r>
        <w:rPr>
          <w:rFonts w:hint="eastAsia" w:ascii="仿宋" w:hAnsi="仿宋" w:cs="仿宋"/>
          <w:spacing w:val="-6"/>
          <w:kern w:val="0"/>
          <w:sz w:val="32"/>
          <w:szCs w:val="32"/>
          <w:u w:val="none" w:color="auto"/>
          <w:lang w:val="en-US" w:eastAsia="zh-CN"/>
        </w:rPr>
        <w:t>住房公积金基数调整，缴纳金额增</w:t>
      </w:r>
      <w:r>
        <w:rPr>
          <w:rFonts w:hint="eastAsia" w:ascii="仿宋" w:hAnsi="仿宋" w:cs="仿宋"/>
          <w:kern w:val="0"/>
          <w:sz w:val="32"/>
          <w:szCs w:val="32"/>
          <w:u w:val="none" w:color="auto"/>
          <w:lang w:val="en-US" w:eastAsia="zh-CN"/>
        </w:rPr>
        <w:t>加。</w:t>
      </w:r>
    </w:p>
    <w:p w14:paraId="2ED44163">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2" w:name="_Toc23747"/>
      <w:r>
        <w:rPr>
          <w:rFonts w:ascii="黑体" w:hAnsi="黑体" w:eastAsia="黑体" w:cs="黑体"/>
          <w:b/>
          <w:bCs/>
          <w:kern w:val="0"/>
          <w:sz w:val="32"/>
          <w:szCs w:val="32"/>
          <w:u w:val="none" w:color="auto"/>
        </w:rPr>
        <w:t>六、一般公共预算财政拨款基本支出决算情况说明</w:t>
      </w:r>
      <w:bookmarkEnd w:id="12"/>
    </w:p>
    <w:p w14:paraId="48FC082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鄂尔多斯市总工会（部门）2023年度一般公共预算财政拨款基本支出决算193.79万元，其中：</w:t>
      </w:r>
    </w:p>
    <w:p w14:paraId="2B694879">
      <w:pPr>
        <w:widowControl/>
        <w:numPr>
          <w:ilvl w:val="0"/>
          <w:numId w:val="3"/>
        </w:numPr>
        <w:overflowPunct w:val="0"/>
        <w:topLinePunct/>
        <w:spacing w:before="240" w:after="240"/>
        <w:ind w:firstLine="628" w:firstLineChars="200"/>
        <w:rPr>
          <w:rFonts w:hint="eastAsia" w:ascii="仿宋" w:hAnsi="仿宋" w:eastAsia="仿宋" w:cs="仿宋"/>
          <w:kern w:val="0"/>
          <w:sz w:val="32"/>
          <w:szCs w:val="32"/>
          <w:u w:val="none" w:color="auto"/>
          <w:lang w:val="en-US" w:eastAsia="zh-CN"/>
        </w:rPr>
      </w:pPr>
      <w:r>
        <w:rPr>
          <w:rFonts w:hint="eastAsia" w:ascii="仿宋" w:hAnsi="仿宋" w:eastAsia="仿宋" w:cs="仿宋"/>
          <w:b/>
          <w:bCs/>
          <w:kern w:val="0"/>
          <w:sz w:val="32"/>
          <w:szCs w:val="32"/>
          <w:u w:val="none" w:color="auto"/>
        </w:rPr>
        <w:t>人员经费</w:t>
      </w:r>
      <w:r>
        <w:rPr>
          <w:rFonts w:hint="eastAsia" w:ascii="仿宋" w:hAnsi="仿宋" w:eastAsia="仿宋" w:cs="仿宋"/>
          <w:kern w:val="0"/>
          <w:sz w:val="32"/>
          <w:szCs w:val="32"/>
          <w:u w:val="none" w:color="auto"/>
        </w:rPr>
        <w:t>174.44</w:t>
      </w:r>
      <w:r>
        <w:rPr>
          <w:rFonts w:hint="eastAsia" w:ascii="仿宋" w:hAnsi="仿宋" w:eastAsia="仿宋" w:cs="仿宋"/>
          <w:b/>
          <w:bCs/>
          <w:kern w:val="0"/>
          <w:sz w:val="32"/>
          <w:szCs w:val="32"/>
          <w:u w:val="none" w:color="auto"/>
        </w:rPr>
        <w:t>万元</w:t>
      </w:r>
      <w:r>
        <w:rPr>
          <w:rFonts w:hint="eastAsia" w:ascii="仿宋" w:hAnsi="仿宋" w:eastAsia="仿宋" w:cs="仿宋"/>
          <w:kern w:val="0"/>
          <w:sz w:val="32"/>
          <w:szCs w:val="32"/>
          <w:u w:val="none" w:color="auto"/>
        </w:rPr>
        <w:t>。主要包括</w:t>
      </w:r>
      <w:r>
        <w:rPr>
          <w:rFonts w:hint="eastAsia" w:ascii="仿宋" w:hAnsi="仿宋" w:cs="仿宋"/>
          <w:kern w:val="0"/>
          <w:sz w:val="32"/>
          <w:szCs w:val="32"/>
          <w:u w:val="none" w:color="auto"/>
          <w:lang w:eastAsia="zh-CN"/>
        </w:rPr>
        <w:t>：</w:t>
      </w:r>
      <w:r>
        <w:rPr>
          <w:rFonts w:hint="eastAsia" w:ascii="仿宋" w:hAnsi="仿宋" w:eastAsia="仿宋" w:cs="仿宋"/>
          <w:kern w:val="0"/>
          <w:sz w:val="32"/>
          <w:szCs w:val="32"/>
          <w:u w:val="none" w:color="auto"/>
        </w:rPr>
        <w:t>退休费</w:t>
      </w:r>
      <w:r>
        <w:rPr>
          <w:rFonts w:hint="eastAsia" w:ascii="仿宋" w:hAnsi="仿宋" w:eastAsia="仿宋" w:cs="仿宋"/>
          <w:kern w:val="0"/>
          <w:sz w:val="32"/>
          <w:szCs w:val="32"/>
          <w:u w:val="none" w:color="auto"/>
          <w:lang w:val="en-US" w:eastAsia="zh-CN"/>
        </w:rPr>
        <w:t>45.08万元</w:t>
      </w:r>
      <w:r>
        <w:rPr>
          <w:rFonts w:hint="eastAsia" w:ascii="仿宋" w:hAnsi="仿宋" w:eastAsia="仿宋" w:cs="仿宋"/>
          <w:kern w:val="0"/>
          <w:sz w:val="32"/>
          <w:szCs w:val="32"/>
          <w:u w:val="none" w:color="auto"/>
        </w:rPr>
        <w:t>、抚恤金</w:t>
      </w:r>
      <w:r>
        <w:rPr>
          <w:rFonts w:hint="eastAsia" w:ascii="仿宋" w:hAnsi="仿宋" w:eastAsia="仿宋" w:cs="仿宋"/>
          <w:kern w:val="0"/>
          <w:sz w:val="32"/>
          <w:szCs w:val="32"/>
          <w:u w:val="none" w:color="auto"/>
          <w:lang w:val="en-US" w:eastAsia="zh-CN"/>
        </w:rPr>
        <w:t>127.05万元</w:t>
      </w:r>
      <w:r>
        <w:rPr>
          <w:rFonts w:hint="eastAsia" w:ascii="仿宋" w:hAnsi="仿宋" w:eastAsia="仿宋" w:cs="仿宋"/>
          <w:kern w:val="0"/>
          <w:sz w:val="32"/>
          <w:szCs w:val="32"/>
          <w:u w:val="none" w:color="auto"/>
        </w:rPr>
        <w:t>、生活补助</w:t>
      </w:r>
      <w:r>
        <w:rPr>
          <w:rFonts w:hint="eastAsia" w:ascii="仿宋" w:hAnsi="仿宋" w:eastAsia="仿宋" w:cs="仿宋"/>
          <w:kern w:val="0"/>
          <w:sz w:val="32"/>
          <w:szCs w:val="32"/>
          <w:u w:val="none" w:color="auto"/>
          <w:lang w:val="en-US" w:eastAsia="zh-CN"/>
        </w:rPr>
        <w:t>2.31万元</w:t>
      </w:r>
    </w:p>
    <w:p w14:paraId="78BBD01E">
      <w:pPr>
        <w:widowControl/>
        <w:numPr>
          <w:ilvl w:val="0"/>
          <w:numId w:val="0"/>
        </w:numPr>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（二）公用经费</w:t>
      </w:r>
      <w:r>
        <w:rPr>
          <w:rFonts w:hint="eastAsia" w:ascii="仿宋" w:hAnsi="仿宋" w:eastAsia="仿宋" w:cs="仿宋"/>
          <w:kern w:val="0"/>
          <w:sz w:val="32"/>
          <w:szCs w:val="32"/>
          <w:u w:val="none" w:color="auto"/>
        </w:rPr>
        <w:t>19.35</w:t>
      </w:r>
      <w:r>
        <w:rPr>
          <w:rFonts w:hint="eastAsia" w:ascii="仿宋" w:hAnsi="仿宋" w:eastAsia="仿宋" w:cs="仿宋"/>
          <w:b/>
          <w:bCs/>
          <w:kern w:val="0"/>
          <w:sz w:val="32"/>
          <w:szCs w:val="32"/>
          <w:u w:val="none" w:color="auto"/>
        </w:rPr>
        <w:t>万元</w:t>
      </w:r>
      <w:r>
        <w:rPr>
          <w:rFonts w:hint="eastAsia" w:ascii="仿宋" w:hAnsi="仿宋" w:eastAsia="仿宋" w:cs="仿宋"/>
          <w:kern w:val="0"/>
          <w:sz w:val="32"/>
          <w:szCs w:val="32"/>
          <w:u w:val="none" w:color="auto"/>
        </w:rPr>
        <w:t>。主要包括：其他交通费用</w:t>
      </w:r>
      <w:r>
        <w:rPr>
          <w:rFonts w:hint="eastAsia" w:ascii="仿宋" w:hAnsi="仿宋" w:eastAsia="仿宋" w:cs="仿宋"/>
          <w:kern w:val="0"/>
          <w:sz w:val="32"/>
          <w:szCs w:val="32"/>
          <w:u w:val="none" w:color="auto"/>
          <w:lang w:val="en-US" w:eastAsia="zh-CN"/>
        </w:rPr>
        <w:t>19.35万元</w:t>
      </w:r>
      <w:r>
        <w:rPr>
          <w:rFonts w:hint="eastAsia" w:ascii="仿宋" w:hAnsi="仿宋" w:cs="仿宋"/>
          <w:kern w:val="0"/>
          <w:sz w:val="32"/>
          <w:szCs w:val="32"/>
          <w:u w:val="none" w:color="auto"/>
          <w:lang w:val="en-US" w:eastAsia="zh-CN"/>
        </w:rPr>
        <w:t>。</w:t>
      </w:r>
    </w:p>
    <w:p w14:paraId="262C6495">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3" w:name="_Toc7370"/>
      <w:r>
        <w:rPr>
          <w:rFonts w:ascii="黑体" w:hAnsi="黑体" w:eastAsia="黑体" w:cs="黑体"/>
          <w:b/>
          <w:bCs/>
          <w:kern w:val="0"/>
          <w:sz w:val="32"/>
          <w:szCs w:val="32"/>
          <w:u w:val="none" w:color="auto"/>
        </w:rPr>
        <w:t>七、一般公共预算财政拨款项目支出决算情况说明</w:t>
      </w:r>
      <w:bookmarkEnd w:id="13"/>
    </w:p>
    <w:p w14:paraId="24F7F5A7">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鄂尔多斯市总工会（部门）2023年度一般公共预算财政拨款项目支出决算1553.66万元，其中：</w:t>
      </w:r>
    </w:p>
    <w:p w14:paraId="6293BBC9">
      <w:pPr>
        <w:widowControl/>
        <w:numPr>
          <w:ilvl w:val="0"/>
          <w:numId w:val="4"/>
        </w:numPr>
        <w:overflowPunct w:val="0"/>
        <w:topLinePunct/>
        <w:spacing w:before="240" w:after="240"/>
        <w:ind w:firstLine="628" w:firstLineChars="200"/>
        <w:rPr>
          <w:rFonts w:hint="eastAsia" w:ascii="仿宋" w:hAnsi="仿宋" w:eastAsia="仿宋" w:cs="仿宋"/>
          <w:kern w:val="0"/>
          <w:sz w:val="32"/>
          <w:szCs w:val="32"/>
          <w:highlight w:val="none"/>
          <w:u w:val="none" w:color="auto"/>
          <w:lang w:val="en-US" w:eastAsia="zh-CN"/>
        </w:rPr>
      </w:pPr>
      <w:r>
        <w:rPr>
          <w:rFonts w:hint="eastAsia" w:ascii="仿宋" w:hAnsi="仿宋" w:eastAsia="仿宋" w:cs="仿宋"/>
          <w:b/>
          <w:bCs/>
          <w:kern w:val="0"/>
          <w:sz w:val="32"/>
          <w:szCs w:val="32"/>
          <w:highlight w:val="none"/>
          <w:u w:val="none" w:color="auto"/>
        </w:rPr>
        <w:t>工资福利支出</w:t>
      </w:r>
      <w:r>
        <w:rPr>
          <w:rFonts w:hint="eastAsia" w:ascii="仿宋" w:hAnsi="仿宋" w:eastAsia="仿宋" w:cs="仿宋"/>
          <w:kern w:val="0"/>
          <w:sz w:val="32"/>
          <w:szCs w:val="32"/>
          <w:highlight w:val="none"/>
          <w:u w:val="none" w:color="auto"/>
        </w:rPr>
        <w:t>166.42</w:t>
      </w:r>
      <w:r>
        <w:rPr>
          <w:rFonts w:hint="eastAsia" w:ascii="仿宋" w:hAnsi="仿宋" w:eastAsia="仿宋" w:cs="仿宋"/>
          <w:b/>
          <w:bCs/>
          <w:kern w:val="0"/>
          <w:sz w:val="32"/>
          <w:szCs w:val="32"/>
          <w:highlight w:val="none"/>
          <w:u w:val="none" w:color="auto"/>
        </w:rPr>
        <w:t>万元</w:t>
      </w:r>
      <w:r>
        <w:rPr>
          <w:rFonts w:hint="eastAsia" w:ascii="仿宋" w:hAnsi="仿宋" w:eastAsia="仿宋" w:cs="仿宋"/>
          <w:kern w:val="0"/>
          <w:sz w:val="32"/>
          <w:szCs w:val="32"/>
          <w:highlight w:val="none"/>
          <w:u w:val="none" w:color="auto"/>
        </w:rPr>
        <w:t>。主要包括：机关事业单位基本养老保险缴费</w:t>
      </w:r>
      <w:r>
        <w:rPr>
          <w:rFonts w:hint="eastAsia" w:ascii="仿宋" w:hAnsi="仿宋" w:eastAsia="仿宋" w:cs="仿宋"/>
          <w:kern w:val="0"/>
          <w:sz w:val="32"/>
          <w:szCs w:val="32"/>
          <w:highlight w:val="none"/>
          <w:u w:val="none" w:color="auto"/>
          <w:lang w:val="en-US" w:eastAsia="zh-CN"/>
        </w:rPr>
        <w:t>54.72万元</w:t>
      </w:r>
      <w:r>
        <w:rPr>
          <w:rFonts w:hint="eastAsia" w:ascii="仿宋" w:hAnsi="仿宋" w:eastAsia="仿宋" w:cs="仿宋"/>
          <w:kern w:val="0"/>
          <w:sz w:val="32"/>
          <w:szCs w:val="32"/>
          <w:highlight w:val="none"/>
          <w:u w:val="none" w:color="auto"/>
        </w:rPr>
        <w:t>、职业年金缴费</w:t>
      </w:r>
      <w:r>
        <w:rPr>
          <w:rFonts w:hint="eastAsia" w:ascii="仿宋" w:hAnsi="仿宋" w:eastAsia="仿宋" w:cs="仿宋"/>
          <w:kern w:val="0"/>
          <w:sz w:val="32"/>
          <w:szCs w:val="32"/>
          <w:highlight w:val="none"/>
          <w:u w:val="none" w:color="auto"/>
          <w:lang w:val="en-US" w:eastAsia="zh-CN"/>
        </w:rPr>
        <w:t>27.36万元</w:t>
      </w:r>
      <w:r>
        <w:rPr>
          <w:rFonts w:hint="eastAsia" w:ascii="仿宋" w:hAnsi="仿宋" w:eastAsia="仿宋" w:cs="仿宋"/>
          <w:kern w:val="0"/>
          <w:sz w:val="32"/>
          <w:szCs w:val="32"/>
          <w:highlight w:val="none"/>
          <w:u w:val="none" w:color="auto"/>
        </w:rPr>
        <w:t>、职工基本医疗保险缴费</w:t>
      </w:r>
      <w:r>
        <w:rPr>
          <w:rFonts w:hint="eastAsia" w:ascii="仿宋" w:hAnsi="仿宋" w:eastAsia="仿宋" w:cs="仿宋"/>
          <w:kern w:val="0"/>
          <w:sz w:val="32"/>
          <w:szCs w:val="32"/>
          <w:highlight w:val="none"/>
          <w:u w:val="none" w:color="auto"/>
          <w:lang w:val="en-US" w:eastAsia="zh-CN"/>
        </w:rPr>
        <w:t>30.42万元</w:t>
      </w:r>
      <w:r>
        <w:rPr>
          <w:rFonts w:hint="eastAsia" w:ascii="仿宋" w:hAnsi="仿宋" w:eastAsia="仿宋" w:cs="仿宋"/>
          <w:kern w:val="0"/>
          <w:sz w:val="32"/>
          <w:szCs w:val="32"/>
          <w:highlight w:val="none"/>
          <w:u w:val="none" w:color="auto"/>
        </w:rPr>
        <w:t>、其他社会保障缴费</w:t>
      </w:r>
      <w:r>
        <w:rPr>
          <w:rFonts w:hint="eastAsia" w:ascii="仿宋" w:hAnsi="仿宋" w:eastAsia="仿宋" w:cs="仿宋"/>
          <w:kern w:val="0"/>
          <w:sz w:val="32"/>
          <w:szCs w:val="32"/>
          <w:highlight w:val="none"/>
          <w:u w:val="none" w:color="auto"/>
          <w:lang w:val="en-US" w:eastAsia="zh-CN"/>
        </w:rPr>
        <w:t>0.47万元</w:t>
      </w:r>
      <w:r>
        <w:rPr>
          <w:rFonts w:hint="eastAsia" w:ascii="仿宋" w:hAnsi="仿宋" w:eastAsia="仿宋" w:cs="仿宋"/>
          <w:kern w:val="0"/>
          <w:sz w:val="32"/>
          <w:szCs w:val="32"/>
          <w:highlight w:val="none"/>
          <w:u w:val="none" w:color="auto"/>
        </w:rPr>
        <w:t>、住房公积金</w:t>
      </w:r>
      <w:r>
        <w:rPr>
          <w:rFonts w:hint="eastAsia" w:ascii="仿宋" w:hAnsi="仿宋" w:eastAsia="仿宋" w:cs="仿宋"/>
          <w:kern w:val="0"/>
          <w:sz w:val="32"/>
          <w:szCs w:val="32"/>
          <w:highlight w:val="none"/>
          <w:u w:val="none" w:color="auto"/>
          <w:lang w:val="en-US" w:eastAsia="zh-CN"/>
        </w:rPr>
        <w:t>53.45万元。</w:t>
      </w:r>
      <w:r>
        <w:rPr>
          <w:rFonts w:hint="eastAsia" w:ascii="仿宋" w:hAnsi="仿宋" w:cs="仿宋"/>
          <w:kern w:val="0"/>
          <w:sz w:val="32"/>
          <w:szCs w:val="32"/>
          <w:highlight w:val="none"/>
          <w:u w:val="none" w:color="auto"/>
          <w:lang w:val="en-US" w:eastAsia="zh-CN"/>
        </w:rPr>
        <w:t>我部门在编在岗人员工资由单位自有资金保障，各项保险费用立项支出。</w:t>
      </w:r>
    </w:p>
    <w:p w14:paraId="07B6E25E">
      <w:pPr>
        <w:widowControl/>
        <w:numPr>
          <w:ilvl w:val="0"/>
          <w:numId w:val="0"/>
        </w:numPr>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（二）商品和服务支出</w:t>
      </w:r>
      <w:r>
        <w:rPr>
          <w:rFonts w:hint="eastAsia" w:ascii="仿宋" w:hAnsi="仿宋" w:eastAsia="仿宋" w:cs="仿宋"/>
          <w:kern w:val="0"/>
          <w:sz w:val="32"/>
          <w:szCs w:val="32"/>
          <w:u w:val="none" w:color="auto"/>
        </w:rPr>
        <w:t>1351.91</w:t>
      </w:r>
      <w:r>
        <w:rPr>
          <w:rFonts w:hint="eastAsia" w:ascii="仿宋" w:hAnsi="仿宋" w:eastAsia="仿宋" w:cs="仿宋"/>
          <w:b/>
          <w:bCs/>
          <w:kern w:val="0"/>
          <w:sz w:val="32"/>
          <w:szCs w:val="32"/>
          <w:u w:val="none" w:color="auto"/>
        </w:rPr>
        <w:t>万元</w:t>
      </w:r>
      <w:r>
        <w:rPr>
          <w:rFonts w:hint="eastAsia" w:ascii="仿宋" w:hAnsi="仿宋" w:eastAsia="仿宋" w:cs="仿宋"/>
          <w:kern w:val="0"/>
          <w:sz w:val="32"/>
          <w:szCs w:val="32"/>
          <w:u w:val="none" w:color="auto"/>
        </w:rPr>
        <w:t>。主要包括：办公费</w:t>
      </w:r>
      <w:r>
        <w:rPr>
          <w:rFonts w:hint="eastAsia" w:ascii="仿宋" w:hAnsi="仿宋" w:eastAsia="仿宋" w:cs="仿宋"/>
          <w:kern w:val="0"/>
          <w:sz w:val="32"/>
          <w:szCs w:val="32"/>
          <w:u w:val="none" w:color="auto"/>
          <w:lang w:val="en-US" w:eastAsia="zh-CN"/>
        </w:rPr>
        <w:t>14.7万元</w:t>
      </w:r>
      <w:r>
        <w:rPr>
          <w:rFonts w:hint="eastAsia" w:ascii="仿宋" w:hAnsi="仿宋" w:eastAsia="仿宋" w:cs="仿宋"/>
          <w:kern w:val="0"/>
          <w:sz w:val="32"/>
          <w:szCs w:val="32"/>
          <w:u w:val="none" w:color="auto"/>
        </w:rPr>
        <w:t>、印刷费</w:t>
      </w:r>
      <w:r>
        <w:rPr>
          <w:rFonts w:hint="eastAsia" w:ascii="仿宋" w:hAnsi="仿宋" w:eastAsia="仿宋" w:cs="仿宋"/>
          <w:kern w:val="0"/>
          <w:sz w:val="32"/>
          <w:szCs w:val="32"/>
          <w:u w:val="none" w:color="auto"/>
          <w:lang w:val="en-US" w:eastAsia="zh-CN"/>
        </w:rPr>
        <w:t>8.13万元</w:t>
      </w:r>
      <w:r>
        <w:rPr>
          <w:rFonts w:hint="eastAsia" w:ascii="仿宋" w:hAnsi="仿宋" w:eastAsia="仿宋" w:cs="仿宋"/>
          <w:kern w:val="0"/>
          <w:sz w:val="32"/>
          <w:szCs w:val="32"/>
          <w:u w:val="none" w:color="auto"/>
        </w:rPr>
        <w:t>、邮电费</w:t>
      </w:r>
      <w:r>
        <w:rPr>
          <w:rFonts w:hint="eastAsia" w:ascii="仿宋" w:hAnsi="仿宋" w:eastAsia="仿宋" w:cs="仿宋"/>
          <w:kern w:val="0"/>
          <w:sz w:val="32"/>
          <w:szCs w:val="32"/>
          <w:u w:val="none" w:color="auto"/>
          <w:lang w:val="en-US" w:eastAsia="zh-CN"/>
        </w:rPr>
        <w:t>4.99万元</w:t>
      </w:r>
      <w:r>
        <w:rPr>
          <w:rFonts w:hint="eastAsia" w:ascii="仿宋" w:hAnsi="仿宋" w:eastAsia="仿宋" w:cs="仿宋"/>
          <w:kern w:val="0"/>
          <w:sz w:val="32"/>
          <w:szCs w:val="32"/>
          <w:u w:val="none" w:color="auto"/>
        </w:rPr>
        <w:t>、取暖费</w:t>
      </w:r>
      <w:r>
        <w:rPr>
          <w:rFonts w:hint="eastAsia" w:ascii="仿宋" w:hAnsi="仿宋" w:eastAsia="仿宋" w:cs="仿宋"/>
          <w:kern w:val="0"/>
          <w:sz w:val="32"/>
          <w:szCs w:val="32"/>
          <w:u w:val="none" w:color="auto"/>
          <w:lang w:val="en-US" w:eastAsia="zh-CN"/>
        </w:rPr>
        <w:t>96.43万元</w:t>
      </w:r>
      <w:r>
        <w:rPr>
          <w:rFonts w:hint="eastAsia" w:ascii="仿宋" w:hAnsi="仿宋" w:eastAsia="仿宋" w:cs="仿宋"/>
          <w:kern w:val="0"/>
          <w:sz w:val="32"/>
          <w:szCs w:val="32"/>
          <w:u w:val="none" w:color="auto"/>
        </w:rPr>
        <w:t>、物业管理费</w:t>
      </w:r>
      <w:r>
        <w:rPr>
          <w:rFonts w:hint="eastAsia" w:ascii="仿宋" w:hAnsi="仿宋" w:eastAsia="仿宋" w:cs="仿宋"/>
          <w:kern w:val="0"/>
          <w:sz w:val="32"/>
          <w:szCs w:val="32"/>
          <w:u w:val="none" w:color="auto"/>
          <w:lang w:val="en-US" w:eastAsia="zh-CN"/>
        </w:rPr>
        <w:t>202.02万元</w:t>
      </w:r>
      <w:r>
        <w:rPr>
          <w:rFonts w:hint="eastAsia" w:ascii="仿宋" w:hAnsi="仿宋" w:eastAsia="仿宋" w:cs="仿宋"/>
          <w:kern w:val="0"/>
          <w:sz w:val="32"/>
          <w:szCs w:val="32"/>
          <w:u w:val="none" w:color="auto"/>
        </w:rPr>
        <w:t>、差旅费</w:t>
      </w:r>
      <w:r>
        <w:rPr>
          <w:rFonts w:hint="eastAsia" w:ascii="仿宋" w:hAnsi="仿宋" w:eastAsia="仿宋" w:cs="仿宋"/>
          <w:kern w:val="0"/>
          <w:sz w:val="32"/>
          <w:szCs w:val="32"/>
          <w:u w:val="none" w:color="auto"/>
          <w:lang w:val="en-US" w:eastAsia="zh-CN"/>
        </w:rPr>
        <w:t>1.15万元</w:t>
      </w:r>
      <w:r>
        <w:rPr>
          <w:rFonts w:hint="eastAsia" w:ascii="仿宋" w:hAnsi="仿宋" w:eastAsia="仿宋" w:cs="仿宋"/>
          <w:kern w:val="0"/>
          <w:sz w:val="32"/>
          <w:szCs w:val="32"/>
          <w:u w:val="none" w:color="auto"/>
        </w:rPr>
        <w:t>、会议费</w:t>
      </w:r>
      <w:r>
        <w:rPr>
          <w:rFonts w:hint="eastAsia" w:ascii="仿宋" w:hAnsi="仿宋" w:eastAsia="仿宋" w:cs="仿宋"/>
          <w:kern w:val="0"/>
          <w:sz w:val="32"/>
          <w:szCs w:val="32"/>
          <w:u w:val="none" w:color="auto"/>
          <w:lang w:val="en-US" w:eastAsia="zh-CN"/>
        </w:rPr>
        <w:t>8.66万元</w:t>
      </w:r>
      <w:r>
        <w:rPr>
          <w:rFonts w:hint="eastAsia" w:ascii="仿宋" w:hAnsi="仿宋" w:eastAsia="仿宋" w:cs="仿宋"/>
          <w:kern w:val="0"/>
          <w:sz w:val="32"/>
          <w:szCs w:val="32"/>
          <w:u w:val="none" w:color="auto"/>
        </w:rPr>
        <w:t>、培训费</w:t>
      </w:r>
      <w:r>
        <w:rPr>
          <w:rFonts w:hint="eastAsia" w:ascii="仿宋" w:hAnsi="仿宋" w:eastAsia="仿宋" w:cs="仿宋"/>
          <w:kern w:val="0"/>
          <w:sz w:val="32"/>
          <w:szCs w:val="32"/>
          <w:u w:val="none" w:color="auto"/>
          <w:lang w:val="en-US" w:eastAsia="zh-CN"/>
        </w:rPr>
        <w:t>11.15万元</w:t>
      </w:r>
      <w:r>
        <w:rPr>
          <w:rFonts w:hint="eastAsia" w:ascii="仿宋" w:hAnsi="仿宋" w:eastAsia="仿宋" w:cs="仿宋"/>
          <w:kern w:val="0"/>
          <w:sz w:val="32"/>
          <w:szCs w:val="32"/>
          <w:u w:val="none" w:color="auto"/>
        </w:rPr>
        <w:t>、劳务费</w:t>
      </w:r>
      <w:r>
        <w:rPr>
          <w:rFonts w:hint="eastAsia" w:ascii="仿宋" w:hAnsi="仿宋" w:eastAsia="仿宋" w:cs="仿宋"/>
          <w:kern w:val="0"/>
          <w:sz w:val="32"/>
          <w:szCs w:val="32"/>
          <w:u w:val="none" w:color="auto"/>
          <w:lang w:val="en-US" w:eastAsia="zh-CN"/>
        </w:rPr>
        <w:t>0.83万元</w:t>
      </w:r>
      <w:r>
        <w:rPr>
          <w:rFonts w:hint="eastAsia" w:ascii="仿宋" w:hAnsi="仿宋" w:eastAsia="仿宋" w:cs="仿宋"/>
          <w:kern w:val="0"/>
          <w:sz w:val="32"/>
          <w:szCs w:val="32"/>
          <w:u w:val="none" w:color="auto"/>
        </w:rPr>
        <w:t>、委托业务费</w:t>
      </w:r>
      <w:r>
        <w:rPr>
          <w:rFonts w:hint="eastAsia" w:ascii="仿宋" w:hAnsi="仿宋" w:eastAsia="仿宋" w:cs="仿宋"/>
          <w:spacing w:val="-6"/>
          <w:kern w:val="0"/>
          <w:sz w:val="32"/>
          <w:szCs w:val="32"/>
          <w:u w:val="none" w:color="auto"/>
          <w:lang w:val="en-US" w:eastAsia="zh-CN"/>
        </w:rPr>
        <w:t>1.</w:t>
      </w:r>
      <w:r>
        <w:rPr>
          <w:rFonts w:hint="eastAsia" w:ascii="仿宋" w:hAnsi="仿宋" w:eastAsia="仿宋" w:cs="仿宋"/>
          <w:spacing w:val="-29"/>
          <w:kern w:val="0"/>
          <w:sz w:val="32"/>
          <w:szCs w:val="32"/>
          <w:u w:val="none" w:color="auto"/>
          <w:lang w:val="en-US" w:eastAsia="zh-CN"/>
        </w:rPr>
        <w:t>8</w:t>
      </w:r>
      <w:r>
        <w:rPr>
          <w:rFonts w:hint="eastAsia" w:ascii="仿宋" w:hAnsi="仿宋" w:eastAsia="仿宋" w:cs="仿宋"/>
          <w:spacing w:val="10"/>
          <w:kern w:val="0"/>
          <w:sz w:val="32"/>
          <w:szCs w:val="32"/>
          <w:u w:val="none" w:color="auto"/>
          <w:lang w:val="en-US" w:eastAsia="zh-CN"/>
        </w:rPr>
        <w:t>万元、</w:t>
      </w:r>
      <w:r>
        <w:rPr>
          <w:rFonts w:hint="eastAsia" w:ascii="仿宋" w:hAnsi="仿宋" w:eastAsia="仿宋" w:cs="仿宋"/>
          <w:spacing w:val="10"/>
          <w:kern w:val="0"/>
          <w:sz w:val="32"/>
          <w:szCs w:val="32"/>
          <w:u w:val="none" w:color="auto"/>
        </w:rPr>
        <w:t>工会经费</w:t>
      </w:r>
      <w:r>
        <w:rPr>
          <w:rFonts w:hint="eastAsia" w:ascii="仿宋" w:hAnsi="仿宋" w:eastAsia="仿宋" w:cs="仿宋"/>
          <w:spacing w:val="-6"/>
          <w:kern w:val="0"/>
          <w:sz w:val="32"/>
          <w:szCs w:val="32"/>
          <w:u w:val="none" w:color="auto"/>
          <w:lang w:val="en-US" w:eastAsia="zh-CN"/>
        </w:rPr>
        <w:t>88</w:t>
      </w:r>
      <w:r>
        <w:rPr>
          <w:rFonts w:hint="eastAsia" w:ascii="仿宋" w:hAnsi="仿宋" w:eastAsia="仿宋" w:cs="仿宋"/>
          <w:spacing w:val="-29"/>
          <w:kern w:val="0"/>
          <w:sz w:val="32"/>
          <w:szCs w:val="32"/>
          <w:u w:val="none" w:color="auto"/>
          <w:lang w:val="en-US" w:eastAsia="zh-CN"/>
        </w:rPr>
        <w:t>2</w:t>
      </w:r>
      <w:r>
        <w:rPr>
          <w:rFonts w:hint="eastAsia" w:ascii="仿宋" w:hAnsi="仿宋" w:eastAsia="仿宋" w:cs="仿宋"/>
          <w:spacing w:val="10"/>
          <w:kern w:val="0"/>
          <w:sz w:val="32"/>
          <w:szCs w:val="32"/>
          <w:u w:val="none" w:color="auto"/>
          <w:lang w:val="en-US" w:eastAsia="zh-CN"/>
        </w:rPr>
        <w:t>万元</w:t>
      </w:r>
      <w:r>
        <w:rPr>
          <w:rFonts w:hint="eastAsia" w:ascii="仿宋" w:hAnsi="仿宋" w:eastAsia="仿宋" w:cs="仿宋"/>
          <w:spacing w:val="10"/>
          <w:kern w:val="0"/>
          <w:sz w:val="32"/>
          <w:szCs w:val="32"/>
          <w:u w:val="none" w:color="auto"/>
        </w:rPr>
        <w:t>、其他商品和服务支出</w:t>
      </w:r>
      <w:r>
        <w:rPr>
          <w:rFonts w:hint="eastAsia" w:ascii="仿宋" w:hAnsi="仿宋" w:eastAsia="仿宋" w:cs="仿宋"/>
          <w:spacing w:val="-6"/>
          <w:kern w:val="0"/>
          <w:sz w:val="32"/>
          <w:szCs w:val="32"/>
          <w:u w:val="none" w:color="auto"/>
          <w:lang w:val="en-US" w:eastAsia="zh-CN"/>
        </w:rPr>
        <w:t>120.0</w:t>
      </w:r>
      <w:r>
        <w:rPr>
          <w:rFonts w:hint="eastAsia" w:ascii="仿宋" w:hAnsi="仿宋" w:eastAsia="仿宋" w:cs="仿宋"/>
          <w:spacing w:val="-84"/>
          <w:kern w:val="0"/>
          <w:sz w:val="32"/>
          <w:szCs w:val="32"/>
          <w:u w:val="none" w:color="auto"/>
          <w:lang w:val="en-US" w:eastAsia="zh-CN"/>
        </w:rPr>
        <w:t>6</w:t>
      </w:r>
      <w:r>
        <w:rPr>
          <w:rFonts w:hint="eastAsia" w:ascii="仿宋" w:hAnsi="仿宋" w:eastAsia="仿宋" w:cs="仿宋"/>
          <w:kern w:val="0"/>
          <w:sz w:val="32"/>
          <w:szCs w:val="32"/>
          <w:u w:val="none" w:color="auto"/>
          <w:lang w:val="en-US" w:eastAsia="zh-CN"/>
        </w:rPr>
        <w:t>万元</w:t>
      </w:r>
      <w:r>
        <w:rPr>
          <w:rFonts w:hint="eastAsia" w:ascii="仿宋" w:hAnsi="仿宋" w:eastAsia="仿宋" w:cs="仿宋"/>
          <w:kern w:val="0"/>
          <w:sz w:val="32"/>
          <w:szCs w:val="32"/>
          <w:u w:val="none" w:color="auto"/>
        </w:rPr>
        <w:t>。</w:t>
      </w:r>
    </w:p>
    <w:p w14:paraId="5BD02800">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4" w:name="_Toc16464"/>
      <w:r>
        <w:rPr>
          <w:rFonts w:ascii="黑体" w:hAnsi="黑体" w:eastAsia="黑体" w:cs="黑体"/>
          <w:b/>
          <w:bCs/>
          <w:kern w:val="0"/>
          <w:sz w:val="32"/>
          <w:szCs w:val="32"/>
          <w:u w:val="none" w:color="auto"/>
        </w:rPr>
        <w:t>八、财政拨款“三公”经费支出决算情况说明</w:t>
      </w:r>
      <w:bookmarkEnd w:id="14"/>
    </w:p>
    <w:p w14:paraId="29777E14">
      <w:pPr>
        <w:widowControl/>
        <w:overflowPunct w:val="0"/>
        <w:topLinePunct/>
        <w:spacing w:before="240" w:after="240"/>
        <w:jc w:val="left"/>
        <w:rPr>
          <w:rFonts w:hint="eastAsia" w:ascii="方正楷体_GB2312" w:hAnsi="方正楷体_GB2312" w:eastAsia="方正楷体_GB2312" w:cs="方正楷体_GB2312"/>
          <w:kern w:val="0"/>
          <w:sz w:val="32"/>
          <w:szCs w:val="32"/>
          <w:u w:val="none" w:color="auto"/>
        </w:rPr>
      </w:pPr>
      <w:r>
        <w:rPr>
          <w:rFonts w:hint="eastAsia" w:ascii="方正楷体_GB2312" w:hAnsi="方正楷体_GB2312" w:eastAsia="方正楷体_GB2312" w:cs="方正楷体_GB2312"/>
          <w:b/>
          <w:bCs/>
          <w:kern w:val="0"/>
          <w:sz w:val="32"/>
          <w:szCs w:val="32"/>
          <w:u w:val="none" w:color="auto"/>
        </w:rPr>
        <w:t>（一）财政拨款</w:t>
      </w:r>
      <w:r>
        <w:rPr>
          <w:rFonts w:hint="eastAsia" w:ascii="方正楷体_GB2312" w:hAnsi="方正楷体_GB2312" w:eastAsia="方正楷体_GB2312" w:cs="方正楷体_GB2312"/>
          <w:b/>
          <w:bCs/>
          <w:kern w:val="0"/>
          <w:sz w:val="32"/>
          <w:szCs w:val="32"/>
          <w:u w:val="none" w:color="auto"/>
          <w:lang w:eastAsia="zh-CN"/>
        </w:rPr>
        <w:t>“</w:t>
      </w:r>
      <w:r>
        <w:rPr>
          <w:rFonts w:hint="eastAsia" w:ascii="方正楷体_GB2312" w:hAnsi="方正楷体_GB2312" w:eastAsia="方正楷体_GB2312" w:cs="方正楷体_GB2312"/>
          <w:b/>
          <w:bCs/>
          <w:kern w:val="0"/>
          <w:sz w:val="32"/>
          <w:szCs w:val="32"/>
          <w:u w:val="none" w:color="auto"/>
        </w:rPr>
        <w:t>三公</w:t>
      </w:r>
      <w:r>
        <w:rPr>
          <w:rFonts w:hint="eastAsia" w:ascii="方正楷体_GB2312" w:hAnsi="方正楷体_GB2312" w:eastAsia="方正楷体_GB2312" w:cs="方正楷体_GB2312"/>
          <w:b/>
          <w:bCs/>
          <w:kern w:val="0"/>
          <w:sz w:val="32"/>
          <w:szCs w:val="32"/>
          <w:u w:val="none" w:color="auto"/>
          <w:lang w:eastAsia="zh-CN"/>
        </w:rPr>
        <w:t>”</w:t>
      </w:r>
      <w:r>
        <w:rPr>
          <w:rFonts w:hint="eastAsia" w:ascii="方正楷体_GB2312" w:hAnsi="方正楷体_GB2312" w:eastAsia="方正楷体_GB2312" w:cs="方正楷体_GB2312"/>
          <w:b/>
          <w:bCs/>
          <w:kern w:val="0"/>
          <w:sz w:val="32"/>
          <w:szCs w:val="32"/>
          <w:u w:val="none" w:color="auto"/>
        </w:rPr>
        <w:t>经费支出总体情况说明。</w:t>
      </w:r>
    </w:p>
    <w:p w14:paraId="0C97DFC3">
      <w:pPr>
        <w:widowControl/>
        <w:overflowPunct w:val="0"/>
        <w:topLinePunct/>
        <w:spacing w:before="240" w:after="240"/>
        <w:ind w:firstLine="916" w:firstLineChars="292"/>
        <w:rPr>
          <w:rFonts w:ascii="Times New Roman" w:hAnsi="Times New Roman" w:eastAsia="Times New Roman" w:cs="Times New Roman"/>
          <w:kern w:val="0"/>
          <w:sz w:val="24"/>
          <w:u w:val="none" w:color="auto"/>
        </w:rPr>
      </w:pPr>
      <w:r>
        <w:rPr>
          <w:rFonts w:hint="eastAsia" w:ascii="仿宋" w:hAnsi="仿宋" w:eastAsia="仿宋" w:cs="仿宋"/>
          <w:kern w:val="0"/>
          <w:sz w:val="32"/>
          <w:szCs w:val="32"/>
          <w:u w:val="none" w:color="auto"/>
        </w:rPr>
        <w:t>鄂尔多斯市总工会（部门）2023年度财政拨款“三公”经费全年预算0.00万元，支出决算0.00万元，完成预算的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%。其中：因公出国（境）费全年预算0.00万元，支出决算 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%；公务用车购置及运行维护费全年预算0.00万元，支出决算0.00万元，完成预算的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%；公务接待费全年预算0.00万元，支出决算0.00万元，完成预算的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%。2023年度一般公共预算财政拨款“三公”经费支出决算与预算差异原因</w:t>
      </w:r>
      <w:r>
        <w:rPr>
          <w:rFonts w:hint="eastAsia" w:ascii="仿宋" w:hAnsi="仿宋" w:eastAsia="仿宋" w:cs="仿宋"/>
          <w:sz w:val="32"/>
          <w:szCs w:val="32"/>
          <w:u w:val="none" w:color="auto"/>
          <w:lang w:val="en-US" w:eastAsia="zh-CN"/>
        </w:rPr>
        <w:t>我单位本年度不存在此项内容。</w:t>
      </w:r>
    </w:p>
    <w:p w14:paraId="2470F7FD">
      <w:pPr>
        <w:widowControl/>
        <w:overflowPunct w:val="0"/>
        <w:topLinePunct/>
        <w:spacing w:before="240" w:after="240"/>
        <w:jc w:val="left"/>
        <w:rPr>
          <w:rFonts w:hint="eastAsia" w:ascii="方正楷体_GB2312" w:hAnsi="方正楷体_GB2312" w:eastAsia="方正楷体_GB2312" w:cs="方正楷体_GB2312"/>
          <w:kern w:val="0"/>
          <w:sz w:val="32"/>
          <w:szCs w:val="32"/>
          <w:u w:val="none" w:color="auto"/>
        </w:rPr>
      </w:pPr>
      <w:r>
        <w:rPr>
          <w:rFonts w:hint="eastAsia" w:ascii="方正楷体_GB2312" w:hAnsi="方正楷体_GB2312" w:eastAsia="方正楷体_GB2312" w:cs="方正楷体_GB2312"/>
          <w:b/>
          <w:bCs/>
          <w:kern w:val="0"/>
          <w:sz w:val="32"/>
          <w:szCs w:val="32"/>
          <w:u w:val="none" w:color="auto"/>
        </w:rPr>
        <w:t>（二）财政拨款</w:t>
      </w:r>
      <w:r>
        <w:rPr>
          <w:rFonts w:hint="eastAsia" w:ascii="方正楷体_GB2312" w:hAnsi="方正楷体_GB2312" w:eastAsia="方正楷体_GB2312" w:cs="方正楷体_GB2312"/>
          <w:b/>
          <w:bCs/>
          <w:kern w:val="0"/>
          <w:sz w:val="32"/>
          <w:szCs w:val="32"/>
          <w:u w:val="none" w:color="auto"/>
          <w:lang w:eastAsia="zh-CN"/>
        </w:rPr>
        <w:t>“</w:t>
      </w:r>
      <w:r>
        <w:rPr>
          <w:rFonts w:hint="eastAsia" w:ascii="方正楷体_GB2312" w:hAnsi="方正楷体_GB2312" w:eastAsia="方正楷体_GB2312" w:cs="方正楷体_GB2312"/>
          <w:b/>
          <w:bCs/>
          <w:kern w:val="0"/>
          <w:sz w:val="32"/>
          <w:szCs w:val="32"/>
          <w:u w:val="none" w:color="auto"/>
        </w:rPr>
        <w:t>三公</w:t>
      </w:r>
      <w:r>
        <w:rPr>
          <w:rFonts w:hint="eastAsia" w:ascii="方正楷体_GB2312" w:hAnsi="方正楷体_GB2312" w:eastAsia="方正楷体_GB2312" w:cs="方正楷体_GB2312"/>
          <w:b/>
          <w:bCs/>
          <w:kern w:val="0"/>
          <w:sz w:val="32"/>
          <w:szCs w:val="32"/>
          <w:u w:val="none" w:color="auto"/>
          <w:lang w:eastAsia="zh-CN"/>
        </w:rPr>
        <w:t>”</w:t>
      </w:r>
      <w:r>
        <w:rPr>
          <w:rFonts w:hint="eastAsia" w:ascii="方正楷体_GB2312" w:hAnsi="方正楷体_GB2312" w:eastAsia="方正楷体_GB2312" w:cs="方正楷体_GB2312"/>
          <w:b/>
          <w:bCs/>
          <w:kern w:val="0"/>
          <w:sz w:val="32"/>
          <w:szCs w:val="32"/>
          <w:u w:val="none" w:color="auto"/>
        </w:rPr>
        <w:t>经费支出具体情况说明。</w:t>
      </w:r>
    </w:p>
    <w:p w14:paraId="5B7416D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鄂尔多斯市总工会（部门）2023年度财政拨款“三公”经费支出 0.00万元。因公出国（境）费支出 0.00万元，占</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%；公务用车购置及运行维护费支出 0.00万元，占</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%；公务接待费支出 0.00万元，占</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%。其中：</w:t>
      </w:r>
    </w:p>
    <w:p w14:paraId="17525579">
      <w:pPr>
        <w:widowControl/>
        <w:overflowPunct w:val="0"/>
        <w:topLinePunct/>
        <w:spacing w:before="240" w:after="240"/>
        <w:ind w:firstLine="628" w:firstLineChars="200"/>
        <w:rPr>
          <w:rFonts w:hint="eastAsia" w:ascii="仿宋" w:hAnsi="仿宋" w:eastAsia="仿宋" w:cs="仿宋"/>
          <w:sz w:val="32"/>
          <w:szCs w:val="32"/>
          <w:u w:val="none" w:color="auto"/>
          <w:lang w:val="en-US" w:eastAsia="zh-CN"/>
        </w:rPr>
      </w:pPr>
      <w:r>
        <w:rPr>
          <w:rFonts w:hint="eastAsia" w:ascii="仿宋" w:hAnsi="仿宋" w:eastAsia="仿宋" w:cs="仿宋"/>
          <w:kern w:val="0"/>
          <w:sz w:val="32"/>
          <w:szCs w:val="32"/>
          <w:u w:val="none" w:color="auto"/>
        </w:rPr>
        <w:t>1.因公出国（境）费支出0.00万元，全年出国（境）团组0个，累计0人次。与上年决算相比，增加0.00万元，增长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43A5B2E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2.公务用车购置及运行维护费支出0.00万元。其中：</w:t>
      </w:r>
    </w:p>
    <w:p w14:paraId="1A2E2C4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（1）公务用车购置支出0.00万元。本年度使用财政拨款购置公务用车0 辆，开支内容：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r>
        <w:rPr>
          <w:rFonts w:hint="eastAsia" w:ascii="仿宋" w:hAnsi="仿宋" w:eastAsia="仿宋" w:cs="仿宋"/>
          <w:kern w:val="0"/>
          <w:sz w:val="32"/>
          <w:szCs w:val="32"/>
          <w:u w:val="none" w:color="auto"/>
        </w:rPr>
        <w:t>。</w:t>
      </w:r>
    </w:p>
    <w:p w14:paraId="32A6026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公务用车运行维护费支出0.00万元。公务用车运行维护费主要用于按规定保留的公务用车的燃料费、维修费、过桥过路费、保险费、安全奖励费用等支出。截至2023年12月31日，使用财政拨款开支的公务用车保有量为0 辆。与上年决算相比，增加0.00万元，增长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2E7076F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3.公务接待费支出 0.00万元。其中：国内公务接待支出 0.00万元，接待0 批次，0 人次，开支内容：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；国（境）外公务接待支出 0.00万元，接待0 批次，0 人次，开支内容：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 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4CBBF9C2">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5" w:name="_Toc20894"/>
      <w:r>
        <w:rPr>
          <w:rFonts w:ascii="黑体" w:hAnsi="黑体" w:eastAsia="黑体" w:cs="黑体"/>
          <w:b/>
          <w:bCs/>
          <w:kern w:val="0"/>
          <w:sz w:val="32"/>
          <w:szCs w:val="32"/>
          <w:u w:val="none" w:color="auto"/>
        </w:rPr>
        <w:t>九、政府性基金预算财政拨款支出决算情况说明</w:t>
      </w:r>
      <w:bookmarkEnd w:id="15"/>
    </w:p>
    <w:p w14:paraId="4AE061E6">
      <w:pPr>
        <w:widowControl/>
        <w:overflowPunct w:val="0"/>
        <w:topLinePunct/>
        <w:spacing w:before="240" w:after="240"/>
        <w:ind w:firstLine="628" w:firstLineChars="200"/>
        <w:rPr>
          <w:rFonts w:hint="default" w:ascii="仿宋" w:hAnsi="仿宋" w:eastAsia="仿宋" w:cs="仿宋"/>
          <w:kern w:val="0"/>
          <w:sz w:val="32"/>
          <w:szCs w:val="32"/>
          <w:highlight w:val="none"/>
          <w:u w:val="none" w:color="auto"/>
          <w:lang w:val="en-US"/>
        </w:rPr>
      </w:pPr>
      <w:r>
        <w:rPr>
          <w:rFonts w:hint="eastAsia" w:ascii="仿宋" w:hAnsi="仿宋" w:eastAsia="仿宋" w:cs="仿宋"/>
          <w:kern w:val="0"/>
          <w:sz w:val="32"/>
          <w:szCs w:val="32"/>
          <w:u w:val="none" w:color="auto"/>
        </w:rPr>
        <w:t>鄂尔多斯市总工会（部门）2023年度政府性基金预算财政拨款支出决算0.00万元。与上年决算相比，减少275.43万元，减少100.00%，变动原因：</w:t>
      </w:r>
      <w:r>
        <w:rPr>
          <w:rFonts w:hint="eastAsia" w:ascii="仿宋" w:hAnsi="仿宋" w:cs="仿宋"/>
          <w:kern w:val="0"/>
          <w:sz w:val="32"/>
          <w:szCs w:val="32"/>
          <w:highlight w:val="none"/>
          <w:u w:val="none" w:color="auto"/>
          <w:lang w:val="en-US" w:eastAsia="zh-CN"/>
        </w:rPr>
        <w:t>市总工会全民健身与全民健康融合试点建设项目已完结。</w:t>
      </w:r>
    </w:p>
    <w:p w14:paraId="1E0B3F33">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6" w:name="_Toc30206"/>
      <w:r>
        <w:rPr>
          <w:rFonts w:ascii="黑体" w:hAnsi="黑体" w:eastAsia="黑体" w:cs="黑体"/>
          <w:b/>
          <w:bCs/>
          <w:kern w:val="0"/>
          <w:sz w:val="32"/>
          <w:szCs w:val="32"/>
          <w:u w:val="none" w:color="auto"/>
        </w:rPr>
        <w:t>十、国有资本经营预算财政拨款支出决算情况说明</w:t>
      </w:r>
      <w:bookmarkEnd w:id="16"/>
    </w:p>
    <w:p w14:paraId="70A701FC">
      <w:pPr>
        <w:widowControl/>
        <w:overflowPunct w:val="0"/>
        <w:topLinePunct/>
        <w:spacing w:before="240" w:after="240"/>
        <w:ind w:firstLine="628" w:firstLineChars="200"/>
        <w:rPr>
          <w:rFonts w:hint="eastAsia" w:ascii="仿宋" w:hAnsi="仿宋" w:eastAsia="仿宋" w:cs="仿宋"/>
          <w:color w:val="auto"/>
          <w:kern w:val="0"/>
          <w:sz w:val="32"/>
          <w:szCs w:val="32"/>
          <w:u w:val="none" w:color="auto"/>
        </w:rPr>
      </w:pPr>
      <w:r>
        <w:rPr>
          <w:rFonts w:hint="eastAsia" w:ascii="仿宋" w:hAnsi="仿宋" w:eastAsia="仿宋" w:cs="仿宋"/>
          <w:color w:val="auto"/>
          <w:kern w:val="0"/>
          <w:sz w:val="32"/>
          <w:szCs w:val="32"/>
          <w:u w:val="none" w:color="auto"/>
        </w:rPr>
        <w:t>鄂尔多斯市总工会（部门）2023年度国有资本经营预算财政拨款支出决算0.00万元。与上年决算相比，增加0.00万元，增长</w:t>
      </w:r>
      <w:r>
        <w:rPr>
          <w:rFonts w:hint="eastAsia" w:ascii="仿宋" w:hAnsi="仿宋" w:eastAsia="仿宋" w:cs="仿宋"/>
          <w:color w:val="auto"/>
          <w:kern w:val="0"/>
          <w:sz w:val="32"/>
          <w:szCs w:val="32"/>
          <w:u w:val="none" w:color="auto"/>
          <w:lang w:val="en-US" w:eastAsia="zh-CN"/>
        </w:rPr>
        <w:t>0</w:t>
      </w:r>
      <w:r>
        <w:rPr>
          <w:rFonts w:hint="eastAsia" w:ascii="仿宋" w:hAnsi="仿宋" w:eastAsia="仿宋" w:cs="仿宋"/>
          <w:color w:val="auto"/>
          <w:kern w:val="0"/>
          <w:sz w:val="32"/>
          <w:szCs w:val="32"/>
          <w:u w:val="none" w:color="auto"/>
        </w:rPr>
        <w:t>%，变动原因：本部门无国有资本经营预算财政拨款收、支、余。</w:t>
      </w:r>
    </w:p>
    <w:p w14:paraId="598E79C4">
      <w:pPr>
        <w:widowControl/>
        <w:overflowPunct w:val="0"/>
        <w:topLinePunct/>
        <w:spacing w:before="240" w:after="240"/>
        <w:outlineLvl w:val="1"/>
        <w:rPr>
          <w:rFonts w:ascii="Times New Roman" w:hAnsi="Times New Roman" w:eastAsia="Times New Roman" w:cs="Times New Roman"/>
          <w:kern w:val="0"/>
          <w:sz w:val="32"/>
          <w:szCs w:val="32"/>
          <w:u w:val="none" w:color="auto"/>
        </w:rPr>
      </w:pPr>
      <w:bookmarkStart w:id="17" w:name="_Toc23604"/>
      <w:r>
        <w:rPr>
          <w:rFonts w:ascii="黑体" w:hAnsi="黑体" w:eastAsia="黑体" w:cs="黑体"/>
          <w:b/>
          <w:bCs/>
          <w:kern w:val="0"/>
          <w:sz w:val="32"/>
          <w:szCs w:val="32"/>
          <w:u w:val="none" w:color="auto"/>
        </w:rPr>
        <w:t>十一、机构运行经费支出决算情况说明</w:t>
      </w:r>
      <w:bookmarkEnd w:id="17"/>
    </w:p>
    <w:p w14:paraId="756E1A9A">
      <w:pPr>
        <w:widowControl/>
        <w:overflowPunct w:val="0"/>
        <w:topLinePunct/>
        <w:spacing w:before="240" w:after="240"/>
        <w:ind w:firstLine="628" w:firstLineChars="200"/>
        <w:rPr>
          <w:rFonts w:hint="default" w:ascii="Times New Roman" w:hAnsi="Times New Roman" w:eastAsia="仿宋" w:cs="Times New Roman"/>
          <w:kern w:val="0"/>
          <w:sz w:val="24"/>
          <w:highlight w:val="yellow"/>
          <w:u w:val="none" w:color="auto"/>
          <w:lang w:val="en-US" w:eastAsia="zh-CN"/>
        </w:rPr>
      </w:pPr>
      <w:r>
        <w:rPr>
          <w:rFonts w:hint="eastAsia" w:ascii="仿宋" w:hAnsi="仿宋" w:eastAsia="仿宋" w:cs="仿宋"/>
          <w:kern w:val="0"/>
          <w:sz w:val="32"/>
          <w:szCs w:val="32"/>
          <w:highlight w:val="none"/>
          <w:u w:val="none" w:color="auto"/>
        </w:rPr>
        <w:t>鄂尔多斯市总工会（部门）2023年度机构运行经费支出决算19.35万元。比上年决算相比，增加0.72万元，增长3.84%，变动原因：</w:t>
      </w:r>
      <w:r>
        <w:rPr>
          <w:rFonts w:hint="eastAsia" w:ascii="仿宋" w:hAnsi="仿宋" w:cs="仿宋"/>
          <w:kern w:val="0"/>
          <w:sz w:val="32"/>
          <w:szCs w:val="32"/>
          <w:highlight w:val="none"/>
          <w:u w:val="none" w:color="auto"/>
          <w:lang w:val="en-US" w:eastAsia="zh-CN"/>
        </w:rPr>
        <w:t>其他交通费用增加。</w:t>
      </w:r>
    </w:p>
    <w:p w14:paraId="52AC949A">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8" w:name="_Toc23300"/>
      <w:r>
        <w:rPr>
          <w:rFonts w:ascii="黑体" w:hAnsi="黑体" w:eastAsia="黑体" w:cs="黑体"/>
          <w:b/>
          <w:bCs/>
          <w:kern w:val="0"/>
          <w:sz w:val="32"/>
          <w:szCs w:val="32"/>
          <w:u w:val="none" w:color="auto"/>
        </w:rPr>
        <w:t>十二、政府采购支出决算情况说明</w:t>
      </w:r>
      <w:bookmarkEnd w:id="18"/>
    </w:p>
    <w:p w14:paraId="030A108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鄂尔多斯市总工会（部门）2023年度政府采购支出总额15.99万元，其中：政府采购货物支出1.95万元、政府采购工程支出 0.00万元、政府采购服务支出 14.04万元。政府采购授予中小企业合同金额 0.00万元，占政府采购支出总额的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%，其中：授予小微企业合同金额0.00万元，占政府采购支出总额的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%；货物采购授予中小企业合同金额占货物支出金额的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%，工程采购授予中小企业合同金额占工程支出金额的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%，服务采购授予中小企业合同金额占服务支出金额的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w:t>
      </w:r>
    </w:p>
    <w:p w14:paraId="497C6D0B">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9" w:name="_Toc2025"/>
      <w:r>
        <w:rPr>
          <w:rFonts w:ascii="黑体" w:hAnsi="黑体" w:eastAsia="黑体" w:cs="黑体"/>
          <w:b/>
          <w:bCs/>
          <w:kern w:val="0"/>
          <w:sz w:val="32"/>
          <w:szCs w:val="32"/>
          <w:u w:val="none" w:color="auto"/>
        </w:rPr>
        <w:t>十三、国有资产占用情况说明</w:t>
      </w:r>
      <w:bookmarkEnd w:id="19"/>
    </w:p>
    <w:p w14:paraId="619E58D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 截至2023年12月31日，本部门（单位）共有车辆 0辆，其中：副部（省）级及以上领导用车0 辆、主要负责人用车 0辆、机要通信用车 0辆、应急保障用车 0辆、执法执勤用车 0辆、特种专业技术用车 0辆、离退休干部服务用车 0辆，其他用车 0辆；单价100万元（含）以上的设备（不含车辆） 0台（套）。</w:t>
      </w:r>
    </w:p>
    <w:p w14:paraId="398F55EC">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20" w:name="_Toc3115"/>
      <w:r>
        <w:rPr>
          <w:rFonts w:ascii="黑体" w:hAnsi="黑体" w:eastAsia="黑体" w:cs="黑体"/>
          <w:b/>
          <w:bCs/>
          <w:kern w:val="0"/>
          <w:sz w:val="32"/>
          <w:szCs w:val="32"/>
          <w:u w:val="none" w:color="auto"/>
        </w:rPr>
        <w:t>十四、预算绩效情况说明</w:t>
      </w:r>
      <w:bookmarkEnd w:id="20"/>
    </w:p>
    <w:p w14:paraId="0719B12E">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（一）预算绩效管理工作开展情况。</w:t>
      </w:r>
    </w:p>
    <w:p w14:paraId="66393D8F">
      <w:pPr>
        <w:widowControl/>
        <w:overflowPunct w:val="0"/>
        <w:topLinePunct/>
        <w:spacing w:before="240" w:after="240"/>
        <w:ind w:firstLine="628" w:firstLineChars="200"/>
        <w:rPr>
          <w:rFonts w:hint="eastAsia" w:ascii="仿宋" w:hAnsi="仿宋" w:eastAsia="仿宋" w:cs="仿宋"/>
          <w:kern w:val="0"/>
          <w:sz w:val="32"/>
          <w:szCs w:val="32"/>
          <w:u w:val="none" w:color="auto"/>
          <w:lang w:eastAsia="zh-CN"/>
        </w:rPr>
      </w:pPr>
      <w:r>
        <w:rPr>
          <w:rFonts w:hint="eastAsia" w:ascii="仿宋" w:hAnsi="仿宋" w:eastAsia="仿宋" w:cs="仿宋"/>
          <w:kern w:val="0"/>
          <w:sz w:val="32"/>
          <w:szCs w:val="32"/>
          <w:u w:val="none" w:color="auto"/>
        </w:rPr>
        <w:t>鄂尔多斯市总工会（部门）根据预算绩效管理要求组织对2023年一般公共预算项目支出全面开展绩效自评，其中一级项目</w:t>
      </w:r>
      <w:r>
        <w:rPr>
          <w:rFonts w:hint="eastAsia" w:ascii="仿宋" w:hAnsi="仿宋" w:cs="仿宋"/>
          <w:kern w:val="0"/>
          <w:sz w:val="32"/>
          <w:szCs w:val="32"/>
          <w:u w:val="none" w:color="auto"/>
          <w:lang w:val="en-US" w:eastAsia="zh-CN"/>
        </w:rPr>
        <w:t>30</w:t>
      </w:r>
      <w:r>
        <w:rPr>
          <w:rFonts w:hint="eastAsia" w:ascii="仿宋" w:hAnsi="仿宋" w:eastAsia="仿宋" w:cs="仿宋"/>
          <w:kern w:val="0"/>
          <w:sz w:val="32"/>
          <w:szCs w:val="32"/>
          <w:u w:val="none" w:color="auto"/>
        </w:rPr>
        <w:t>个，二级项目</w:t>
      </w:r>
      <w:r>
        <w:rPr>
          <w:rFonts w:hint="eastAsia" w:ascii="仿宋" w:hAnsi="仿宋" w:cs="仿宋"/>
          <w:kern w:val="0"/>
          <w:sz w:val="32"/>
          <w:szCs w:val="32"/>
          <w:u w:val="none" w:color="auto"/>
          <w:lang w:val="en-US" w:eastAsia="zh-CN"/>
        </w:rPr>
        <w:t>70</w:t>
      </w:r>
      <w:r>
        <w:rPr>
          <w:rFonts w:hint="eastAsia" w:ascii="仿宋" w:hAnsi="仿宋" w:eastAsia="仿宋" w:cs="仿宋"/>
          <w:kern w:val="0"/>
          <w:sz w:val="32"/>
          <w:szCs w:val="32"/>
          <w:u w:val="none" w:color="auto"/>
        </w:rPr>
        <w:t>个，共涉及资金</w:t>
      </w:r>
      <w:r>
        <w:rPr>
          <w:rFonts w:hint="eastAsia" w:ascii="仿宋" w:hAnsi="仿宋" w:cs="仿宋"/>
          <w:kern w:val="0"/>
          <w:sz w:val="32"/>
          <w:szCs w:val="32"/>
          <w:u w:val="none" w:color="auto"/>
          <w:lang w:val="en-US" w:eastAsia="zh-CN"/>
        </w:rPr>
        <w:t>1553.66</w:t>
      </w:r>
      <w:r>
        <w:rPr>
          <w:rFonts w:hint="eastAsia" w:ascii="仿宋" w:hAnsi="仿宋" w:eastAsia="仿宋" w:cs="仿宋"/>
          <w:kern w:val="0"/>
          <w:sz w:val="32"/>
          <w:szCs w:val="32"/>
          <w:u w:val="none" w:color="auto"/>
        </w:rPr>
        <w:t>万元，占一般公共预算项目支出总额的100%；政府性基金预算项目</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个，其中，一级项目</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个，二级项目</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个，共涉及资金</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万元，占应纳入绩效自评的政府性基金预算项目支出总额的100%</w:t>
      </w:r>
      <w:r>
        <w:rPr>
          <w:rFonts w:hint="eastAsia" w:ascii="仿宋" w:hAnsi="仿宋" w:cs="仿宋"/>
          <w:kern w:val="0"/>
          <w:sz w:val="32"/>
          <w:szCs w:val="32"/>
          <w:u w:val="none" w:color="auto"/>
          <w:lang w:eastAsia="zh-CN"/>
        </w:rPr>
        <w:t>。</w:t>
      </w:r>
    </w:p>
    <w:p w14:paraId="321500EF">
      <w:pPr>
        <w:widowControl/>
        <w:overflowPunct w:val="0"/>
        <w:topLinePunct/>
        <w:spacing w:before="240" w:after="240"/>
        <w:ind w:firstLine="628" w:firstLineChars="200"/>
        <w:rPr>
          <w:rFonts w:hint="default" w:ascii="仿宋" w:hAnsi="仿宋" w:cs="仿宋"/>
          <w:kern w:val="0"/>
          <w:sz w:val="32"/>
          <w:szCs w:val="32"/>
          <w:u w:val="none" w:color="auto"/>
          <w:lang w:val="en-US" w:eastAsia="zh-CN"/>
        </w:rPr>
      </w:pPr>
      <w:r>
        <w:rPr>
          <w:rFonts w:hint="eastAsia" w:ascii="仿宋" w:hAnsi="仿宋" w:cs="仿宋"/>
          <w:kern w:val="0"/>
          <w:sz w:val="32"/>
          <w:szCs w:val="32"/>
          <w:u w:val="none" w:color="auto"/>
          <w:lang w:val="en-US" w:eastAsia="zh-CN"/>
        </w:rPr>
        <w:t>本单位未对项目开展重点绩效评价。</w:t>
      </w:r>
    </w:p>
    <w:p w14:paraId="447FEA95">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（二）部门（单位）决算中项目绩效自评结果。</w:t>
      </w:r>
    </w:p>
    <w:p w14:paraId="08CB1E3D">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鄂尔多斯市总工会（部门）2023年度在决算中反映</w:t>
      </w:r>
      <w:r>
        <w:rPr>
          <w:rFonts w:hint="eastAsia" w:ascii="仿宋" w:hAnsi="仿宋" w:cs="仿宋"/>
          <w:kern w:val="0"/>
          <w:sz w:val="32"/>
          <w:szCs w:val="32"/>
          <w:u w:val="none" w:color="auto"/>
          <w:lang w:val="en-US" w:eastAsia="zh-CN"/>
        </w:rPr>
        <w:t>5</w:t>
      </w:r>
      <w:r>
        <w:rPr>
          <w:rFonts w:hint="eastAsia" w:ascii="仿宋" w:hAnsi="仿宋" w:eastAsia="仿宋" w:cs="仿宋"/>
          <w:kern w:val="0"/>
          <w:sz w:val="32"/>
          <w:szCs w:val="32"/>
          <w:u w:val="none" w:color="auto"/>
        </w:rPr>
        <w:t>个一般公共预算项目，以及</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个政府性基金项目</w:t>
      </w:r>
      <w:r>
        <w:rPr>
          <w:rFonts w:hint="eastAsia" w:ascii="仿宋" w:hAnsi="仿宋" w:cs="仿宋"/>
          <w:kern w:val="0"/>
          <w:sz w:val="32"/>
          <w:szCs w:val="32"/>
          <w:u w:val="none" w:color="auto"/>
          <w:lang w:eastAsia="zh-CN"/>
        </w:rPr>
        <w:t>，</w:t>
      </w:r>
      <w:r>
        <w:rPr>
          <w:rFonts w:hint="eastAsia" w:ascii="仿宋" w:hAnsi="仿宋" w:eastAsia="仿宋" w:cs="仿宋"/>
          <w:kern w:val="0"/>
          <w:sz w:val="32"/>
          <w:szCs w:val="32"/>
          <w:u w:val="none" w:color="auto"/>
        </w:rPr>
        <w:t>共</w:t>
      </w:r>
      <w:r>
        <w:rPr>
          <w:rFonts w:hint="eastAsia" w:ascii="仿宋" w:hAnsi="仿宋" w:cs="仿宋"/>
          <w:kern w:val="0"/>
          <w:sz w:val="32"/>
          <w:szCs w:val="32"/>
          <w:u w:val="none" w:color="auto"/>
          <w:lang w:val="en-US" w:eastAsia="zh-CN"/>
        </w:rPr>
        <w:t>5</w:t>
      </w:r>
      <w:r>
        <w:rPr>
          <w:rFonts w:hint="eastAsia" w:ascii="仿宋" w:hAnsi="仿宋" w:eastAsia="仿宋" w:cs="仿宋"/>
          <w:kern w:val="0"/>
          <w:sz w:val="32"/>
          <w:szCs w:val="32"/>
          <w:u w:val="none" w:color="auto"/>
        </w:rPr>
        <w:t>个项目的绩效自评结果。</w:t>
      </w:r>
    </w:p>
    <w:p w14:paraId="418628C9">
      <w:pPr>
        <w:numPr>
          <w:ilvl w:val="0"/>
          <w:numId w:val="0"/>
        </w:numPr>
        <w:spacing w:before="188" w:line="204" w:lineRule="auto"/>
        <w:ind w:firstLine="628" w:firstLineChars="200"/>
        <w:rPr>
          <w:rFonts w:hint="eastAsia" w:ascii="仿宋" w:hAnsi="仿宋" w:eastAsia="仿宋" w:cs="仿宋"/>
          <w:kern w:val="0"/>
          <w:sz w:val="32"/>
          <w:szCs w:val="32"/>
          <w:highlight w:val="yellow"/>
          <w:u w:val="none" w:color="auto"/>
        </w:rPr>
      </w:pPr>
      <w:r>
        <w:rPr>
          <w:rFonts w:hint="eastAsia" w:ascii="仿宋" w:hAnsi="仿宋" w:cs="仿宋"/>
          <w:kern w:val="0"/>
          <w:sz w:val="32"/>
          <w:szCs w:val="32"/>
          <w:u w:val="none" w:color="auto"/>
          <w:lang w:val="en-US" w:eastAsia="zh-CN"/>
        </w:rPr>
        <w:t>1.</w:t>
      </w:r>
      <w:r>
        <w:rPr>
          <w:rFonts w:hint="eastAsia" w:ascii="仿宋_GB2312" w:hAnsi="仿宋_GB2312" w:eastAsia="仿宋_GB2312" w:cs="仿宋_GB2312"/>
          <w:kern w:val="0"/>
          <w:sz w:val="32"/>
          <w:szCs w:val="32"/>
          <w:u w:val="none" w:color="auto"/>
        </w:rPr>
        <w:t>财政拨款行政事业单位工会经费项目自评综述：根据年初设定的绩效目标，项目自评得分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882</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882</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val="en-US" w:eastAsia="zh-CN"/>
        </w:rPr>
        <w:t>2023年度内</w:t>
      </w:r>
      <w:r>
        <w:rPr>
          <w:rFonts w:hint="eastAsia" w:ascii="仿宋_GB2312" w:hAnsi="仿宋_GB2312" w:eastAsia="仿宋_GB2312" w:cs="仿宋_GB2312"/>
          <w:color w:val="auto"/>
          <w:spacing w:val="8"/>
          <w:sz w:val="32"/>
          <w:szCs w:val="32"/>
          <w:u w:val="none" w:color="auto"/>
        </w:rPr>
        <w:t>组织</w:t>
      </w:r>
      <w:r>
        <w:rPr>
          <w:rFonts w:hint="eastAsia" w:ascii="仿宋_GB2312" w:hAnsi="仿宋_GB2312" w:eastAsia="仿宋_GB2312" w:cs="仿宋_GB2312"/>
          <w:color w:val="auto"/>
          <w:spacing w:val="8"/>
          <w:sz w:val="32"/>
          <w:szCs w:val="32"/>
          <w:u w:val="none" w:color="auto"/>
          <w:lang w:eastAsia="zh-CN"/>
        </w:rPr>
        <w:t>开展</w:t>
      </w:r>
      <w:r>
        <w:rPr>
          <w:rFonts w:hint="eastAsia" w:ascii="仿宋_GB2312" w:hAnsi="仿宋_GB2312" w:eastAsia="仿宋_GB2312" w:cs="仿宋_GB2312"/>
          <w:color w:val="auto"/>
          <w:spacing w:val="8"/>
          <w:sz w:val="32"/>
          <w:szCs w:val="32"/>
          <w:u w:val="none" w:color="auto"/>
        </w:rPr>
        <w:t>职工文体活动</w:t>
      </w:r>
      <w:r>
        <w:rPr>
          <w:rFonts w:hint="eastAsia" w:ascii="仿宋_GB2312" w:hAnsi="仿宋_GB2312" w:eastAsia="仿宋_GB2312" w:cs="仿宋_GB2312"/>
          <w:color w:val="auto"/>
          <w:spacing w:val="8"/>
          <w:sz w:val="32"/>
          <w:szCs w:val="32"/>
          <w:u w:val="none" w:color="auto"/>
          <w:lang w:val="en-US" w:eastAsia="zh-CN"/>
        </w:rPr>
        <w:t>10余次</w:t>
      </w:r>
      <w:r>
        <w:rPr>
          <w:rFonts w:hint="eastAsia" w:ascii="仿宋_GB2312" w:hAnsi="仿宋_GB2312" w:eastAsia="仿宋_GB2312" w:cs="仿宋_GB2312"/>
          <w:color w:val="auto"/>
          <w:spacing w:val="8"/>
          <w:sz w:val="32"/>
          <w:szCs w:val="32"/>
          <w:u w:val="none" w:color="auto"/>
        </w:rPr>
        <w:t>，职工宣传教育活动</w:t>
      </w:r>
      <w:r>
        <w:rPr>
          <w:rFonts w:hint="eastAsia" w:ascii="仿宋_GB2312" w:hAnsi="仿宋_GB2312" w:eastAsia="仿宋_GB2312" w:cs="仿宋_GB2312"/>
          <w:color w:val="auto"/>
          <w:spacing w:val="8"/>
          <w:sz w:val="32"/>
          <w:szCs w:val="32"/>
          <w:u w:val="none" w:color="auto"/>
          <w:lang w:val="en-US" w:eastAsia="zh-CN"/>
        </w:rPr>
        <w:t>10余次</w:t>
      </w:r>
      <w:r>
        <w:rPr>
          <w:rFonts w:hint="eastAsia" w:ascii="仿宋_GB2312" w:hAnsi="仿宋_GB2312" w:eastAsia="仿宋_GB2312" w:cs="仿宋_GB2312"/>
          <w:color w:val="auto"/>
          <w:spacing w:val="8"/>
          <w:sz w:val="32"/>
          <w:szCs w:val="32"/>
          <w:u w:val="none" w:color="auto"/>
        </w:rPr>
        <w:t>，</w:t>
      </w:r>
      <w:r>
        <w:rPr>
          <w:rFonts w:hint="eastAsia" w:ascii="仿宋_GB2312" w:hAnsi="仿宋_GB2312" w:eastAsia="仿宋_GB2312" w:cs="仿宋_GB2312"/>
          <w:color w:val="auto"/>
          <w:spacing w:val="8"/>
          <w:sz w:val="32"/>
          <w:szCs w:val="32"/>
          <w:u w:val="none" w:color="auto"/>
          <w:lang w:eastAsia="zh-CN"/>
        </w:rPr>
        <w:t>覆盖职工人数达到</w:t>
      </w:r>
      <w:r>
        <w:rPr>
          <w:rFonts w:hint="eastAsia" w:ascii="仿宋_GB2312" w:hAnsi="仿宋_GB2312" w:eastAsia="仿宋_GB2312" w:cs="仿宋_GB2312"/>
          <w:color w:val="auto"/>
          <w:spacing w:val="8"/>
          <w:sz w:val="32"/>
          <w:szCs w:val="32"/>
          <w:u w:val="none" w:color="auto"/>
          <w:lang w:val="en-US" w:eastAsia="zh-CN"/>
        </w:rPr>
        <w:t>95%，</w:t>
      </w:r>
      <w:r>
        <w:rPr>
          <w:rFonts w:hint="eastAsia" w:ascii="仿宋_GB2312" w:hAnsi="仿宋_GB2312" w:eastAsia="仿宋_GB2312" w:cs="仿宋_GB2312"/>
          <w:color w:val="auto"/>
          <w:spacing w:val="8"/>
          <w:sz w:val="32"/>
          <w:szCs w:val="32"/>
          <w:u w:val="none" w:color="auto"/>
        </w:rPr>
        <w:t>进一步丰富了职工生活，充分展现了职工风采，加强了职工职业技能水</w:t>
      </w:r>
      <w:r>
        <w:rPr>
          <w:rFonts w:hint="eastAsia" w:ascii="仿宋_GB2312" w:hAnsi="仿宋_GB2312" w:eastAsia="仿宋_GB2312" w:cs="仿宋_GB2312"/>
          <w:color w:val="auto"/>
          <w:spacing w:val="30"/>
          <w:sz w:val="32"/>
          <w:szCs w:val="32"/>
          <w:u w:val="none" w:color="auto"/>
        </w:rPr>
        <w:t>平，为发挥好职工的娘家人地位，保障了强有力</w:t>
      </w:r>
      <w:r>
        <w:rPr>
          <w:rFonts w:hint="eastAsia" w:ascii="仿宋_GB2312" w:hAnsi="仿宋_GB2312" w:eastAsia="仿宋_GB2312" w:cs="仿宋_GB2312"/>
          <w:color w:val="auto"/>
          <w:spacing w:val="8"/>
          <w:sz w:val="32"/>
          <w:szCs w:val="32"/>
          <w:u w:val="none" w:color="auto"/>
        </w:rPr>
        <w:t>的基础</w:t>
      </w:r>
      <w:r>
        <w:rPr>
          <w:rFonts w:hint="eastAsia" w:ascii="仿宋_GB2312" w:hAnsi="仿宋_GB2312" w:eastAsia="仿宋_GB2312" w:cs="仿宋_GB2312"/>
          <w:kern w:val="0"/>
          <w:sz w:val="32"/>
          <w:szCs w:val="32"/>
          <w:u w:val="none" w:color="auto"/>
        </w:rPr>
        <w:t>。</w:t>
      </w:r>
      <w:r>
        <w:rPr>
          <w:rFonts w:hint="eastAsia" w:ascii="仿宋_GB2312" w:hAnsi="仿宋_GB2312" w:eastAsia="仿宋_GB2312" w:cs="仿宋_GB2312"/>
          <w:kern w:val="0"/>
          <w:sz w:val="32"/>
          <w:szCs w:val="32"/>
          <w:u w:val="none" w:color="auto"/>
          <w:lang w:val="en-US" w:eastAsia="zh-CN"/>
        </w:rPr>
        <w:t>本项目暂未发现问题，暂无改进措施。</w:t>
      </w:r>
    </w:p>
    <w:tbl>
      <w:tblPr>
        <w:tblStyle w:val="21"/>
        <w:tblW w:w="91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798"/>
        <w:gridCol w:w="795"/>
        <w:gridCol w:w="777"/>
        <w:gridCol w:w="734"/>
        <w:gridCol w:w="748"/>
        <w:gridCol w:w="741"/>
        <w:gridCol w:w="736"/>
        <w:gridCol w:w="737"/>
        <w:gridCol w:w="735"/>
        <w:gridCol w:w="768"/>
        <w:gridCol w:w="819"/>
      </w:tblGrid>
      <w:tr w14:paraId="4EAA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35" w:hRule="atLeast"/>
        </w:trPr>
        <w:tc>
          <w:tcPr>
            <w:tcW w:w="918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CA5E84F">
            <w:pPr>
              <w:keepNext w:val="0"/>
              <w:keepLines w:val="0"/>
              <w:pageBreakBefore w:val="0"/>
              <w:widowControl/>
              <w:suppressLineNumbers w:val="0"/>
              <w:kinsoku/>
              <w:wordWrap/>
              <w:overflowPunct w:val="0"/>
              <w:topLinePunct/>
              <w:autoSpaceDE/>
              <w:autoSpaceDN/>
              <w:bidi w:val="0"/>
              <w:adjustRightInd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5E9E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19CA6">
            <w:pPr>
              <w:keepNext w:val="0"/>
              <w:keepLines w:val="0"/>
              <w:pageBreakBefore w:val="0"/>
              <w:widowControl/>
              <w:suppressLineNumbers w:val="0"/>
              <w:kinsoku/>
              <w:wordWrap/>
              <w:autoSpaceDE/>
              <w:autoSpaceDN/>
              <w:bidi w:val="0"/>
              <w:snapToGrid/>
              <w:spacing w:line="32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5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B83274">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财政拨款行政事业单位工会经费</w:t>
            </w:r>
          </w:p>
        </w:tc>
      </w:tr>
      <w:tr w14:paraId="6D6C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C7A08">
            <w:pPr>
              <w:keepNext w:val="0"/>
              <w:keepLines w:val="0"/>
              <w:pageBreakBefore w:val="0"/>
              <w:widowControl/>
              <w:suppressLineNumbers w:val="0"/>
              <w:kinsoku/>
              <w:wordWrap/>
              <w:autoSpaceDE/>
              <w:autoSpaceDN/>
              <w:bidi w:val="0"/>
              <w:snapToGrid/>
              <w:spacing w:line="32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30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496C1D">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BDEFF">
            <w:pPr>
              <w:keepNext w:val="0"/>
              <w:keepLines w:val="0"/>
              <w:pageBreakBefore w:val="0"/>
              <w:widowControl/>
              <w:suppressLineNumbers w:val="0"/>
              <w:kinsoku/>
              <w:wordWrap/>
              <w:autoSpaceDE/>
              <w:autoSpaceDN/>
              <w:bidi w:val="0"/>
              <w:snapToGrid/>
              <w:spacing w:line="32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305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707271">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0E092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7DDC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1FFE">
            <w:pPr>
              <w:keepNext w:val="0"/>
              <w:keepLines w:val="0"/>
              <w:pageBreakBefore w:val="0"/>
              <w:widowControl/>
              <w:kinsoku/>
              <w:wordWrap/>
              <w:autoSpaceDE/>
              <w:autoSpaceDN/>
              <w:bidi w:val="0"/>
              <w:snapToGrid/>
              <w:spacing w:line="320" w:lineRule="exact"/>
              <w:rPr>
                <w:rFonts w:hint="eastAsia" w:ascii="宋体" w:hAnsi="宋体" w:eastAsia="宋体" w:cs="宋体"/>
                <w:i w:val="0"/>
                <w:iCs w:val="0"/>
                <w:color w:val="000000"/>
                <w:sz w:val="18"/>
                <w:szCs w:val="18"/>
                <w:u w:val="none" w:color="auto"/>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73A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3F71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3852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30B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422C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D35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2C52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270C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F0B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0515">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ED26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2344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19C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2FC4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E1F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6562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B6B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39B0">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9C74">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E7E1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8A3B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892B">
            <w:pPr>
              <w:keepNext w:val="0"/>
              <w:keepLines w:val="0"/>
              <w:pageBreakBefore w:val="0"/>
              <w:widowControl/>
              <w:suppressLineNumbers w:val="0"/>
              <w:kinsoku/>
              <w:wordWrap/>
              <w:autoSpaceDE/>
              <w:autoSpaceDN/>
              <w:bidi w:val="0"/>
              <w:snapToGrid/>
              <w:spacing w:line="32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08B9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E44D">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7E65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76A6C">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31E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53D5">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C25A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1CAD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4ED9">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39A9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CB0F">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E7BC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720A8">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8F2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68A2">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C098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2156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09B1">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DFBA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E373">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6AE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trPr>
        <w:tc>
          <w:tcPr>
            <w:tcW w:w="15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3BFA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7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0671D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highlight w:val="none"/>
                <w:u w:val="none" w:color="auto"/>
              </w:rPr>
            </w:pPr>
            <w:r>
              <w:rPr>
                <w:rFonts w:hint="eastAsia" w:ascii="宋体" w:hAnsi="宋体" w:eastAsia="宋体" w:cs="宋体"/>
                <w:i w:val="0"/>
                <w:iCs w:val="0"/>
                <w:color w:val="000000"/>
                <w:spacing w:val="-6"/>
                <w:kern w:val="0"/>
                <w:sz w:val="18"/>
                <w:szCs w:val="18"/>
                <w:highlight w:val="none"/>
                <w:u w:val="none" w:color="auto"/>
                <w:lang w:val="en-US" w:eastAsia="zh-CN" w:bidi="ar"/>
              </w:rPr>
              <w:t>预期目标</w:t>
            </w:r>
          </w:p>
        </w:tc>
        <w:tc>
          <w:tcPr>
            <w:tcW w:w="37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DDF4D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68CA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15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675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37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E923E">
            <w:pPr>
              <w:keepNext w:val="0"/>
              <w:keepLines w:val="0"/>
              <w:pageBreakBefore w:val="0"/>
              <w:widowControl/>
              <w:suppressLineNumbers w:val="0"/>
              <w:kinsoku/>
              <w:wordWrap/>
              <w:autoSpaceDE/>
              <w:autoSpaceDN/>
              <w:bidi w:val="0"/>
              <w:snapToGrid/>
              <w:spacing w:line="320" w:lineRule="exact"/>
              <w:jc w:val="center"/>
              <w:textAlignment w:val="center"/>
              <w:rPr>
                <w:rFonts w:hint="default" w:ascii="宋体" w:hAnsi="宋体" w:eastAsia="宋体" w:cs="宋体"/>
                <w:i w:val="0"/>
                <w:iCs w:val="0"/>
                <w:color w:val="000000"/>
                <w:sz w:val="18"/>
                <w:szCs w:val="18"/>
                <w:highlight w:val="none"/>
                <w:u w:val="none" w:color="auto"/>
                <w:lang w:val="en-US" w:eastAsia="zh-CN"/>
              </w:rPr>
            </w:pPr>
            <w:r>
              <w:rPr>
                <w:rFonts w:hint="eastAsia" w:ascii="宋体" w:hAnsi="宋体" w:eastAsia="宋体" w:cs="宋体"/>
                <w:i w:val="0"/>
                <w:iCs w:val="0"/>
                <w:color w:val="000000"/>
                <w:sz w:val="18"/>
                <w:szCs w:val="18"/>
                <w:highlight w:val="none"/>
                <w:u w:val="none" w:color="auto"/>
                <w:lang w:val="en-US" w:eastAsia="zh-CN"/>
              </w:rPr>
              <w:t>组织做好文体活动、宣传教育活动、职工技能大赛等活动，竭诚服务职工。</w:t>
            </w:r>
          </w:p>
        </w:tc>
        <w:tc>
          <w:tcPr>
            <w:tcW w:w="37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A7FF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组织基层工会开展职工技能大赛，职工文体活动，职工宣传教育活动，进一步丰富了职工生活，充分展现了职工风采，加强了职工职业技能水平，为发挥好职工的娘家人地位，保障了强有力的基础。</w:t>
            </w:r>
          </w:p>
        </w:tc>
      </w:tr>
      <w:tr w14:paraId="5BA0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E09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99C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96D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7D6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92F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777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A42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3C0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F3C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BBE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EF7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AFDF">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2C19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restart"/>
            <w:tcBorders>
              <w:top w:val="single" w:color="000000" w:sz="4" w:space="0"/>
              <w:left w:val="single" w:color="000000" w:sz="4" w:space="0"/>
              <w:bottom w:val="nil"/>
              <w:right w:val="single" w:color="000000" w:sz="4" w:space="0"/>
            </w:tcBorders>
            <w:shd w:val="clear" w:color="auto" w:fill="auto"/>
            <w:vAlign w:val="center"/>
          </w:tcPr>
          <w:p w14:paraId="4000737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98" w:type="dxa"/>
            <w:vMerge w:val="restart"/>
            <w:tcBorders>
              <w:top w:val="single" w:color="000000" w:sz="4" w:space="0"/>
              <w:left w:val="single" w:color="000000" w:sz="4" w:space="0"/>
              <w:bottom w:val="nil"/>
              <w:right w:val="single" w:color="000000" w:sz="4" w:space="0"/>
            </w:tcBorders>
            <w:shd w:val="clear" w:color="auto" w:fill="auto"/>
            <w:vAlign w:val="center"/>
          </w:tcPr>
          <w:p w14:paraId="1D314E6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1C8D357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47FEC9A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开展职工文体活动次数</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9A55E9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43F014F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6BB5718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761BA54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661AEBF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8A790D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4BED377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42E8B609">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23DA2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59CBF50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12BD621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496E6365">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77" w:type="dxa"/>
            <w:tcBorders>
              <w:top w:val="single" w:color="000000" w:sz="4" w:space="0"/>
              <w:left w:val="single" w:color="000000" w:sz="4" w:space="0"/>
              <w:bottom w:val="nil"/>
              <w:right w:val="single" w:color="000000" w:sz="4" w:space="0"/>
            </w:tcBorders>
            <w:shd w:val="clear" w:color="auto" w:fill="auto"/>
            <w:vAlign w:val="center"/>
          </w:tcPr>
          <w:p w14:paraId="74522EF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开展职工教育活动次数</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6632BC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1B6FD4F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53E8C33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1A17B5B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5B50031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B83694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0DBECD0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3F4BA1A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7717C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060F53DA">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32FCD87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3BB9366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4216AF6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开展职工文体活动覆盖率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20E8BA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31812DF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1269BE3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30FEF1C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20051F9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E009C3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15E3EF0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6D94FBCA">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569D9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2610F260">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629C464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78F094AA">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77" w:type="dxa"/>
            <w:tcBorders>
              <w:top w:val="single" w:color="000000" w:sz="4" w:space="0"/>
              <w:left w:val="single" w:color="000000" w:sz="4" w:space="0"/>
              <w:bottom w:val="nil"/>
              <w:right w:val="single" w:color="000000" w:sz="4" w:space="0"/>
            </w:tcBorders>
            <w:shd w:val="clear" w:color="auto" w:fill="auto"/>
            <w:vAlign w:val="center"/>
          </w:tcPr>
          <w:p w14:paraId="6388AA9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开展职工教育活动覆盖率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514F68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5FB9E27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612198A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1275292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2355FDB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BAEE1D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37BAFCB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62A7DA50">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2934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0D54483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524ADB5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4ACBB35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121C564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开展职工文体活动的时间</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1FC765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0FC0C5F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071418D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6BCA5B9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4EE2588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AB2E3A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753BA1C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553F6E5A">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44314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55BD1239">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2A71544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7FC0A2A9">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77" w:type="dxa"/>
            <w:tcBorders>
              <w:top w:val="single" w:color="000000" w:sz="4" w:space="0"/>
              <w:left w:val="single" w:color="000000" w:sz="4" w:space="0"/>
              <w:bottom w:val="nil"/>
              <w:right w:val="single" w:color="000000" w:sz="4" w:space="0"/>
            </w:tcBorders>
            <w:shd w:val="clear" w:color="auto" w:fill="auto"/>
            <w:vAlign w:val="center"/>
          </w:tcPr>
          <w:p w14:paraId="613105B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开展职工教育活动的时间</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B90069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4A1FE19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5F9AEB7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016AEAE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527BAFC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D3C7CC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144B2C1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23821BA8">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74BD5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19D2807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48C615AF">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restart"/>
            <w:tcBorders>
              <w:top w:val="single" w:color="000000" w:sz="4" w:space="0"/>
              <w:left w:val="single" w:color="000000" w:sz="4" w:space="0"/>
              <w:bottom w:val="nil"/>
              <w:right w:val="single" w:color="000000" w:sz="4" w:space="0"/>
            </w:tcBorders>
            <w:shd w:val="clear" w:color="auto" w:fill="auto"/>
            <w:vAlign w:val="center"/>
          </w:tcPr>
          <w:p w14:paraId="6E9F151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1BFECB4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开展职工文体活动的成本</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B4B58F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62883D4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3808CF6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482</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57A8E65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482</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424D073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万元</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D57B5E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15E2677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7118B917">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5342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1EA0D5F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7E4A496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vMerge w:val="continue"/>
            <w:tcBorders>
              <w:top w:val="single" w:color="000000" w:sz="4" w:space="0"/>
              <w:left w:val="single" w:color="000000" w:sz="4" w:space="0"/>
              <w:bottom w:val="nil"/>
              <w:right w:val="single" w:color="000000" w:sz="4" w:space="0"/>
            </w:tcBorders>
            <w:shd w:val="clear" w:color="auto" w:fill="auto"/>
            <w:vAlign w:val="center"/>
          </w:tcPr>
          <w:p w14:paraId="5EAC249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77" w:type="dxa"/>
            <w:tcBorders>
              <w:top w:val="single" w:color="000000" w:sz="4" w:space="0"/>
              <w:left w:val="single" w:color="000000" w:sz="4" w:space="0"/>
              <w:bottom w:val="nil"/>
              <w:right w:val="single" w:color="000000" w:sz="4" w:space="0"/>
            </w:tcBorders>
            <w:shd w:val="clear" w:color="auto" w:fill="auto"/>
            <w:vAlign w:val="center"/>
          </w:tcPr>
          <w:p w14:paraId="61E06B4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开展职工教育活动的成本</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11DC12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42617E1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64C7B3B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12A4980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50F40DA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万元</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333D92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11601E6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55594FFE">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1AF30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03CBA63E">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restart"/>
            <w:tcBorders>
              <w:top w:val="single" w:color="000000" w:sz="4" w:space="0"/>
              <w:left w:val="single" w:color="000000" w:sz="4" w:space="0"/>
              <w:bottom w:val="nil"/>
              <w:right w:val="single" w:color="000000" w:sz="4" w:space="0"/>
            </w:tcBorders>
            <w:shd w:val="clear" w:color="auto" w:fill="auto"/>
            <w:vAlign w:val="center"/>
          </w:tcPr>
          <w:p w14:paraId="3F0BCE2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054D15A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012F49A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丰富职工业余生活活动展现职工活力</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3D1191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0EAE26E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16EF153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7920502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5F2864E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9D5AE3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31BED2A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6BC895F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5F81B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3C9C37A4">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vMerge w:val="continue"/>
            <w:tcBorders>
              <w:top w:val="single" w:color="000000" w:sz="4" w:space="0"/>
              <w:left w:val="single" w:color="000000" w:sz="4" w:space="0"/>
              <w:bottom w:val="nil"/>
              <w:right w:val="single" w:color="000000" w:sz="4" w:space="0"/>
            </w:tcBorders>
            <w:shd w:val="clear" w:color="auto" w:fill="auto"/>
            <w:vAlign w:val="center"/>
          </w:tcPr>
          <w:p w14:paraId="75704B4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5" w:type="dxa"/>
            <w:tcBorders>
              <w:top w:val="single" w:color="000000" w:sz="4" w:space="0"/>
              <w:left w:val="single" w:color="000000" w:sz="4" w:space="0"/>
              <w:bottom w:val="nil"/>
              <w:right w:val="single" w:color="000000" w:sz="4" w:space="0"/>
            </w:tcBorders>
            <w:shd w:val="clear" w:color="auto" w:fill="auto"/>
            <w:vAlign w:val="center"/>
          </w:tcPr>
          <w:p w14:paraId="29C4C4B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16D6E2A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提升职工文化素养及技能</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9D98A9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5E33A3D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0B6429B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70ADEB5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78B8473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1C216C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5968CDD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4CBCCA48">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066F2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792" w:type="dxa"/>
            <w:vMerge w:val="continue"/>
            <w:tcBorders>
              <w:top w:val="single" w:color="000000" w:sz="4" w:space="0"/>
              <w:left w:val="single" w:color="000000" w:sz="4" w:space="0"/>
              <w:bottom w:val="nil"/>
              <w:right w:val="single" w:color="000000" w:sz="4" w:space="0"/>
            </w:tcBorders>
            <w:shd w:val="clear" w:color="auto" w:fill="auto"/>
            <w:vAlign w:val="center"/>
          </w:tcPr>
          <w:p w14:paraId="184ECAD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98" w:type="dxa"/>
            <w:tcBorders>
              <w:top w:val="single" w:color="000000" w:sz="4" w:space="0"/>
              <w:left w:val="single" w:color="000000" w:sz="4" w:space="0"/>
              <w:bottom w:val="nil"/>
              <w:right w:val="single" w:color="000000" w:sz="4" w:space="0"/>
            </w:tcBorders>
            <w:shd w:val="clear" w:color="auto" w:fill="auto"/>
            <w:vAlign w:val="center"/>
          </w:tcPr>
          <w:p w14:paraId="0862D0A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1A11570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4B25CB5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职工满意度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2768D0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7318E77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6313674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695BB51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51FB5B8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F304BF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5E7B9BF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819" w:type="dxa"/>
            <w:tcBorders>
              <w:top w:val="single" w:color="000000" w:sz="4" w:space="0"/>
              <w:left w:val="single" w:color="000000" w:sz="4" w:space="0"/>
              <w:bottom w:val="nil"/>
              <w:right w:val="single" w:color="000000" w:sz="4" w:space="0"/>
            </w:tcBorders>
            <w:shd w:val="clear" w:color="auto" w:fill="auto"/>
            <w:vAlign w:val="center"/>
          </w:tcPr>
          <w:p w14:paraId="3F661CCA">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60EF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6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B9618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FF9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730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7E2E">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bl>
    <w:p w14:paraId="35B4E576">
      <w:pPr>
        <w:widowControl/>
        <w:numPr>
          <w:ilvl w:val="0"/>
          <w:numId w:val="0"/>
        </w:numPr>
        <w:overflowPunct w:val="0"/>
        <w:topLinePunct/>
        <w:spacing w:before="240" w:after="240"/>
        <w:rPr>
          <w:rFonts w:hint="eastAsia" w:ascii="仿宋" w:hAnsi="仿宋" w:eastAsia="仿宋" w:cs="仿宋"/>
          <w:kern w:val="0"/>
          <w:sz w:val="32"/>
          <w:szCs w:val="32"/>
          <w:highlight w:val="yellow"/>
          <w:u w:val="none" w:color="auto"/>
        </w:rPr>
      </w:pPr>
      <w:bookmarkStart w:id="24" w:name="_GoBack"/>
      <w:bookmarkEnd w:id="24"/>
    </w:p>
    <w:p w14:paraId="2955C0CD">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2.</w:t>
      </w:r>
      <w:r>
        <w:rPr>
          <w:rFonts w:hint="eastAsia" w:ascii="仿宋_GB2312" w:hAnsi="仿宋_GB2312" w:eastAsia="仿宋_GB2312" w:cs="仿宋_GB2312"/>
          <w:kern w:val="0"/>
          <w:sz w:val="32"/>
          <w:szCs w:val="32"/>
          <w:u w:val="none" w:color="auto"/>
        </w:rPr>
        <w:t>常态化慰问经费项目自评综述：根据年初设定的绩效目标，项目自评得分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80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80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2023年度开展慰问工作，</w:t>
      </w:r>
      <w:r>
        <w:rPr>
          <w:rFonts w:hint="eastAsia" w:ascii="仿宋_GB2312" w:hAnsi="仿宋_GB2312" w:eastAsia="仿宋_GB2312" w:cs="仿宋_GB2312"/>
          <w:color w:val="auto"/>
          <w:spacing w:val="8"/>
          <w:sz w:val="32"/>
          <w:szCs w:val="32"/>
          <w:u w:val="none" w:color="auto"/>
        </w:rPr>
        <w:t>慰问人</w:t>
      </w:r>
      <w:r>
        <w:rPr>
          <w:rFonts w:hint="eastAsia" w:ascii="仿宋_GB2312" w:hAnsi="仿宋_GB2312" w:eastAsia="仿宋_GB2312" w:cs="仿宋_GB2312"/>
          <w:color w:val="auto"/>
          <w:spacing w:val="8"/>
          <w:sz w:val="32"/>
          <w:szCs w:val="32"/>
          <w:u w:val="none" w:color="auto"/>
          <w:lang w:eastAsia="zh-CN"/>
        </w:rPr>
        <w:t>数</w:t>
      </w:r>
      <w:r>
        <w:rPr>
          <w:rFonts w:hint="eastAsia" w:ascii="仿宋_GB2312" w:hAnsi="仿宋_GB2312" w:eastAsia="仿宋_GB2312" w:cs="仿宋_GB2312"/>
          <w:color w:val="auto"/>
          <w:spacing w:val="8"/>
          <w:sz w:val="32"/>
          <w:szCs w:val="32"/>
          <w:u w:val="none" w:color="auto"/>
        </w:rPr>
        <w:t>从目标4000人扩大到4500人，在适当的时候保障了生活问题，激发了被慰问人员在岗位上勤奋工作，在生活中积极向上。体现了工会始终关心职工，关爱职工，竭诚为职工服务</w:t>
      </w:r>
      <w:r>
        <w:rPr>
          <w:rFonts w:hint="eastAsia" w:ascii="仿宋_GB2312" w:hAnsi="仿宋_GB2312" w:eastAsia="仿宋_GB2312" w:cs="仿宋_GB2312"/>
          <w:color w:val="auto"/>
          <w:spacing w:val="8"/>
          <w:sz w:val="32"/>
          <w:szCs w:val="32"/>
          <w:u w:val="none" w:color="auto"/>
          <w:lang w:eastAsia="zh-CN"/>
        </w:rPr>
        <w:t>，</w:t>
      </w:r>
      <w:r>
        <w:rPr>
          <w:rFonts w:hint="eastAsia" w:ascii="仿宋_GB2312" w:hAnsi="仿宋_GB2312" w:eastAsia="仿宋_GB2312" w:cs="仿宋_GB2312"/>
          <w:color w:val="auto"/>
          <w:spacing w:val="8"/>
          <w:sz w:val="32"/>
          <w:szCs w:val="32"/>
          <w:u w:val="none" w:color="auto"/>
          <w:lang w:val="en-US" w:eastAsia="zh-CN"/>
        </w:rPr>
        <w:t>充分发挥工会是党联系职工群众的重要桥梁和纽带。</w:t>
      </w:r>
      <w:r>
        <w:rPr>
          <w:rFonts w:hint="eastAsia" w:ascii="仿宋_GB2312" w:hAnsi="仿宋_GB2312" w:eastAsia="仿宋_GB2312" w:cs="仿宋_GB2312"/>
          <w:kern w:val="0"/>
          <w:sz w:val="32"/>
          <w:szCs w:val="32"/>
          <w:u w:val="none" w:color="auto"/>
          <w:lang w:val="en-US" w:eastAsia="zh-CN"/>
        </w:rPr>
        <w:t>本项目暂未发现问题，暂无改进措施。</w:t>
      </w:r>
    </w:p>
    <w:p w14:paraId="4E30BD79">
      <w:pPr>
        <w:numPr>
          <w:ilvl w:val="0"/>
          <w:numId w:val="0"/>
        </w:numPr>
        <w:spacing w:before="188" w:line="204" w:lineRule="auto"/>
        <w:ind w:firstLine="684" w:firstLineChars="200"/>
        <w:rPr>
          <w:rFonts w:hint="eastAsia" w:ascii="仿宋" w:hAnsi="仿宋" w:eastAsia="仿宋" w:cs="仿宋"/>
          <w:color w:val="auto"/>
          <w:spacing w:val="8"/>
          <w:sz w:val="32"/>
          <w:szCs w:val="32"/>
          <w:u w:val="none" w:color="auto"/>
        </w:rPr>
      </w:pPr>
    </w:p>
    <w:tbl>
      <w:tblPr>
        <w:tblStyle w:val="21"/>
        <w:tblW w:w="87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762"/>
        <w:gridCol w:w="762"/>
        <w:gridCol w:w="704"/>
        <w:gridCol w:w="704"/>
        <w:gridCol w:w="708"/>
        <w:gridCol w:w="705"/>
        <w:gridCol w:w="705"/>
        <w:gridCol w:w="705"/>
        <w:gridCol w:w="705"/>
        <w:gridCol w:w="731"/>
        <w:gridCol w:w="767"/>
      </w:tblGrid>
      <w:tr w14:paraId="08E4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91" w:hRule="atLeast"/>
        </w:trPr>
        <w:tc>
          <w:tcPr>
            <w:tcW w:w="872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6C2388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500BE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5F30D">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19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6F8228">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常态化慰问经费</w:t>
            </w:r>
          </w:p>
        </w:tc>
      </w:tr>
      <w:tr w14:paraId="1B6E4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91" w:hRule="atLeast"/>
        </w:trPr>
        <w:tc>
          <w:tcPr>
            <w:tcW w:w="15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768E6">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8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1FDCA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5DA11">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9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CD01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0D896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5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3CA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44AA">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72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6636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5F0C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900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C54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E4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2B96F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5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7301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ACC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FB9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6A5B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8AA7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D8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F0D9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DED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713E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67" w:hRule="atLeast"/>
        </w:trPr>
        <w:tc>
          <w:tcPr>
            <w:tcW w:w="15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C343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414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EDD2">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908F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79A1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BCB5">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0CC7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71BD">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3EB47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5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A841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D94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374F">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DE2F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3798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9C8B">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B37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234C">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A24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5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4038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F5D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D9A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076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371F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AED8">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ADE5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C834">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0FA29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5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D3CE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5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03E2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6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0902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0C00D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19" w:hRule="atLeast"/>
        </w:trPr>
        <w:tc>
          <w:tcPr>
            <w:tcW w:w="15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9827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5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6DF007">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实现慰问人数的增多，实时保质的完成慰问工作，关爱职工，让各级职工感受到温暖。</w:t>
            </w:r>
          </w:p>
        </w:tc>
        <w:tc>
          <w:tcPr>
            <w:tcW w:w="36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B7312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慰问人群从目标4000人扩大到4500人，在适当的时候保障了生活问题，激发了被慰问人员在岗位上勤奋工作，在生活中积极向上。体现了工会始终关心职工，关爱职工，竭诚为职工服务。</w:t>
            </w:r>
          </w:p>
        </w:tc>
      </w:tr>
      <w:tr w14:paraId="1509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19"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3B7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D46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F4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23F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56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E1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BCF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EF0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90E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149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C70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04A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1667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67" w:hRule="atLeast"/>
        </w:trPr>
        <w:tc>
          <w:tcPr>
            <w:tcW w:w="762" w:type="dxa"/>
            <w:vMerge w:val="restart"/>
            <w:tcBorders>
              <w:top w:val="single" w:color="000000" w:sz="4" w:space="0"/>
              <w:left w:val="single" w:color="000000" w:sz="4" w:space="0"/>
              <w:bottom w:val="nil"/>
              <w:right w:val="single" w:color="000000" w:sz="4" w:space="0"/>
            </w:tcBorders>
            <w:shd w:val="clear" w:color="auto" w:fill="auto"/>
            <w:vAlign w:val="center"/>
          </w:tcPr>
          <w:p w14:paraId="6AB389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2" w:type="dxa"/>
            <w:vMerge w:val="restart"/>
            <w:tcBorders>
              <w:top w:val="single" w:color="000000" w:sz="4" w:space="0"/>
              <w:left w:val="single" w:color="000000" w:sz="4" w:space="0"/>
              <w:bottom w:val="nil"/>
              <w:right w:val="single" w:color="000000" w:sz="4" w:space="0"/>
            </w:tcBorders>
            <w:shd w:val="clear" w:color="auto" w:fill="auto"/>
            <w:vAlign w:val="center"/>
          </w:tcPr>
          <w:p w14:paraId="58B30F9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1F135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393371A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慰问人数及范围</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75ACD06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024D52E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E72EA4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4000</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6CAC82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4500</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B1C5E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人数</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9A8DE2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5B2D79B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47A05D6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04B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36B7476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60CF6CE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126D4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2544099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慰问完成情况</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4E23BD1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57F4FB8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E44443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32248F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116BE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68160C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639597F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2710433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67A7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4A5250A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5E9B539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C47681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37B23C9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慰问完成时间</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19BC2AB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66099E9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2B2C78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3C2C58D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7479D1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543C38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3D81D82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0AC0253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767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33B12A5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49AD3B2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51721B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0DAA12E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人均慰问成本</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6346AE5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0D4CAD7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8B4B8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200</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E93F10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178</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390B4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08A76B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1A09110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2265E77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239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29" w:hRule="atLeast"/>
        </w:trPr>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2A77B19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vMerge w:val="restart"/>
            <w:tcBorders>
              <w:top w:val="single" w:color="000000" w:sz="4" w:space="0"/>
              <w:left w:val="single" w:color="000000" w:sz="4" w:space="0"/>
              <w:bottom w:val="nil"/>
              <w:right w:val="single" w:color="000000" w:sz="4" w:space="0"/>
            </w:tcBorders>
            <w:shd w:val="clear" w:color="auto" w:fill="auto"/>
            <w:vAlign w:val="center"/>
          </w:tcPr>
          <w:p w14:paraId="3EAE72C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1B9C38E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0FCF1B8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充分发挥工会是党联系职工群众的重要桥梁和纽带</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446608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5493FAA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65B8B97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7E5848F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28C60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4D814E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6DF1FA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34463D6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D2D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19" w:hRule="atLeast"/>
        </w:trPr>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703512C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214EA2B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D36DF4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0CB7BD2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加强对慰问群体的关爱程度</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662EE8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634F734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51B87CF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925DF9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17894D9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DF5C32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75AC985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5BE690D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155D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67" w:hRule="atLeast"/>
        </w:trPr>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0B07BAE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nil"/>
              <w:right w:val="single" w:color="000000" w:sz="4" w:space="0"/>
            </w:tcBorders>
            <w:shd w:val="clear" w:color="auto" w:fill="auto"/>
            <w:vAlign w:val="center"/>
          </w:tcPr>
          <w:p w14:paraId="2C290E9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2078995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281D3C5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慰问群体的满意度</w:t>
            </w:r>
          </w:p>
        </w:tc>
        <w:tc>
          <w:tcPr>
            <w:tcW w:w="704" w:type="dxa"/>
            <w:tcBorders>
              <w:top w:val="single" w:color="000000" w:sz="4" w:space="0"/>
              <w:left w:val="single" w:color="000000" w:sz="4" w:space="0"/>
              <w:bottom w:val="nil"/>
              <w:right w:val="single" w:color="000000" w:sz="4" w:space="0"/>
            </w:tcBorders>
            <w:shd w:val="clear" w:color="auto" w:fill="auto"/>
            <w:vAlign w:val="center"/>
          </w:tcPr>
          <w:p w14:paraId="6057719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48F7158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E5C773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484882F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033280A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5" w:type="dxa"/>
            <w:tcBorders>
              <w:top w:val="single" w:color="000000" w:sz="4" w:space="0"/>
              <w:left w:val="single" w:color="000000" w:sz="4" w:space="0"/>
              <w:bottom w:val="nil"/>
              <w:right w:val="single" w:color="000000" w:sz="4" w:space="0"/>
            </w:tcBorders>
            <w:shd w:val="clear" w:color="auto" w:fill="auto"/>
            <w:vAlign w:val="center"/>
          </w:tcPr>
          <w:p w14:paraId="22A9043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1" w:type="dxa"/>
            <w:tcBorders>
              <w:top w:val="single" w:color="000000" w:sz="4" w:space="0"/>
              <w:left w:val="single" w:color="000000" w:sz="4" w:space="0"/>
              <w:bottom w:val="nil"/>
              <w:right w:val="single" w:color="000000" w:sz="4" w:space="0"/>
            </w:tcBorders>
            <w:shd w:val="clear" w:color="auto" w:fill="auto"/>
            <w:vAlign w:val="center"/>
          </w:tcPr>
          <w:p w14:paraId="7A45E5F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7" w:type="dxa"/>
            <w:tcBorders>
              <w:top w:val="single" w:color="000000" w:sz="4" w:space="0"/>
              <w:left w:val="single" w:color="000000" w:sz="4" w:space="0"/>
              <w:bottom w:val="nil"/>
              <w:right w:val="single" w:color="000000" w:sz="4" w:space="0"/>
            </w:tcBorders>
            <w:shd w:val="clear" w:color="auto" w:fill="auto"/>
            <w:vAlign w:val="center"/>
          </w:tcPr>
          <w:p w14:paraId="5DE343F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A5C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1" w:hRule="atLeast"/>
        </w:trPr>
        <w:tc>
          <w:tcPr>
            <w:tcW w:w="65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5CD8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A81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245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D40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6951D159">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3.</w:t>
      </w:r>
      <w:r>
        <w:rPr>
          <w:rFonts w:hint="eastAsia" w:ascii="仿宋_GB2312" w:hAnsi="仿宋_GB2312" w:eastAsia="仿宋_GB2312" w:cs="仿宋_GB2312"/>
          <w:kern w:val="0"/>
          <w:sz w:val="32"/>
          <w:szCs w:val="32"/>
          <w:u w:val="none" w:color="auto"/>
        </w:rPr>
        <w:t>党的建设、意识形态、改革调研工作经费项目自评综述：根据年初设定的绩效目标，项目自评得分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30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30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w:t>
      </w:r>
      <w:r>
        <w:rPr>
          <w:rFonts w:hint="eastAsia" w:ascii="仿宋_GB2312" w:hAnsi="仿宋_GB2312" w:eastAsia="仿宋_GB2312" w:cs="仿宋_GB2312"/>
          <w:color w:val="auto"/>
          <w:spacing w:val="8"/>
          <w:sz w:val="32"/>
          <w:szCs w:val="32"/>
          <w:u w:val="none" w:color="auto"/>
        </w:rPr>
        <w:t>按时</w:t>
      </w:r>
      <w:r>
        <w:rPr>
          <w:rFonts w:hint="eastAsia" w:ascii="仿宋_GB2312" w:hAnsi="仿宋_GB2312" w:eastAsia="仿宋_GB2312" w:cs="仿宋_GB2312"/>
          <w:color w:val="auto"/>
          <w:spacing w:val="8"/>
          <w:sz w:val="32"/>
          <w:szCs w:val="32"/>
          <w:u w:val="none" w:color="auto"/>
          <w:lang w:val="en-US" w:eastAsia="zh-CN"/>
        </w:rPr>
        <w:t>保质组织</w:t>
      </w:r>
      <w:r>
        <w:rPr>
          <w:rFonts w:hint="eastAsia" w:ascii="仿宋_GB2312" w:hAnsi="仿宋_GB2312" w:eastAsia="仿宋_GB2312" w:cs="仿宋_GB2312"/>
          <w:color w:val="auto"/>
          <w:spacing w:val="8"/>
          <w:sz w:val="32"/>
          <w:szCs w:val="32"/>
          <w:u w:val="none" w:color="auto"/>
        </w:rPr>
        <w:t>完成意识形态会议培训大会</w:t>
      </w:r>
      <w:r>
        <w:rPr>
          <w:rFonts w:hint="eastAsia" w:ascii="仿宋_GB2312" w:hAnsi="仿宋_GB2312" w:eastAsia="仿宋_GB2312" w:cs="仿宋_GB2312"/>
          <w:color w:val="auto"/>
          <w:spacing w:val="8"/>
          <w:sz w:val="32"/>
          <w:szCs w:val="32"/>
          <w:u w:val="none" w:color="auto"/>
          <w:lang w:val="en-US" w:eastAsia="zh-CN"/>
        </w:rPr>
        <w:t>1次</w:t>
      </w:r>
      <w:r>
        <w:rPr>
          <w:rFonts w:hint="eastAsia" w:ascii="仿宋_GB2312" w:hAnsi="仿宋_GB2312" w:eastAsia="仿宋_GB2312" w:cs="仿宋_GB2312"/>
          <w:color w:val="auto"/>
          <w:spacing w:val="8"/>
          <w:sz w:val="32"/>
          <w:szCs w:val="32"/>
          <w:u w:val="none" w:color="auto"/>
        </w:rPr>
        <w:t>，完成</w:t>
      </w:r>
      <w:r>
        <w:rPr>
          <w:rFonts w:hint="eastAsia" w:ascii="仿宋_GB2312" w:hAnsi="仿宋_GB2312" w:eastAsia="仿宋_GB2312" w:cs="仿宋_GB2312"/>
          <w:color w:val="auto"/>
          <w:spacing w:val="8"/>
          <w:sz w:val="32"/>
          <w:szCs w:val="32"/>
          <w:u w:val="none" w:color="auto"/>
          <w:lang w:eastAsia="zh-CN"/>
        </w:rPr>
        <w:t>党风廉政建设</w:t>
      </w:r>
      <w:r>
        <w:rPr>
          <w:rFonts w:hint="eastAsia" w:ascii="仿宋_GB2312" w:hAnsi="仿宋_GB2312" w:eastAsia="仿宋_GB2312" w:cs="仿宋_GB2312"/>
          <w:color w:val="auto"/>
          <w:spacing w:val="8"/>
          <w:sz w:val="32"/>
          <w:szCs w:val="32"/>
          <w:u w:val="none" w:color="auto"/>
          <w:lang w:val="en-US" w:eastAsia="zh-CN"/>
        </w:rPr>
        <w:t>5次以上</w:t>
      </w:r>
      <w:r>
        <w:rPr>
          <w:rFonts w:hint="eastAsia" w:ascii="仿宋_GB2312" w:hAnsi="仿宋_GB2312" w:eastAsia="仿宋_GB2312" w:cs="仿宋_GB2312"/>
          <w:color w:val="auto"/>
          <w:spacing w:val="8"/>
          <w:sz w:val="32"/>
          <w:szCs w:val="32"/>
          <w:u w:val="none" w:color="auto"/>
        </w:rPr>
        <w:t>，党员培训</w:t>
      </w:r>
      <w:r>
        <w:rPr>
          <w:rFonts w:hint="eastAsia" w:ascii="仿宋_GB2312" w:hAnsi="仿宋_GB2312" w:eastAsia="仿宋_GB2312" w:cs="仿宋_GB2312"/>
          <w:color w:val="auto"/>
          <w:spacing w:val="8"/>
          <w:sz w:val="32"/>
          <w:szCs w:val="32"/>
          <w:u w:val="none" w:color="auto"/>
          <w:lang w:val="en-US" w:eastAsia="zh-CN"/>
        </w:rPr>
        <w:t>1次，覆盖党员100%，各项活动完成质量95%，</w:t>
      </w:r>
      <w:r>
        <w:rPr>
          <w:rFonts w:hint="eastAsia" w:ascii="仿宋_GB2312" w:hAnsi="仿宋_GB2312" w:eastAsia="仿宋_GB2312" w:cs="仿宋_GB2312"/>
          <w:color w:val="auto"/>
          <w:spacing w:val="8"/>
          <w:sz w:val="32"/>
          <w:szCs w:val="32"/>
          <w:u w:val="none" w:color="auto"/>
        </w:rPr>
        <w:t>有效的提升党员的党性修养，</w:t>
      </w:r>
      <w:r>
        <w:rPr>
          <w:rFonts w:hint="eastAsia" w:ascii="仿宋_GB2312" w:hAnsi="仿宋_GB2312" w:eastAsia="仿宋_GB2312" w:cs="仿宋_GB2312"/>
          <w:color w:val="auto"/>
          <w:spacing w:val="8"/>
          <w:sz w:val="32"/>
          <w:szCs w:val="32"/>
          <w:u w:val="none" w:color="auto"/>
          <w:lang w:val="en-US" w:eastAsia="zh-CN"/>
        </w:rPr>
        <w:t>肃清</w:t>
      </w:r>
      <w:r>
        <w:rPr>
          <w:rFonts w:hint="eastAsia" w:ascii="仿宋_GB2312" w:hAnsi="仿宋_GB2312" w:eastAsia="仿宋_GB2312" w:cs="仿宋_GB2312"/>
          <w:color w:val="auto"/>
          <w:spacing w:val="8"/>
          <w:sz w:val="32"/>
          <w:szCs w:val="32"/>
          <w:u w:val="none" w:color="auto"/>
        </w:rPr>
        <w:t>工作作风，</w:t>
      </w:r>
      <w:r>
        <w:rPr>
          <w:rFonts w:hint="eastAsia" w:ascii="仿宋_GB2312" w:hAnsi="仿宋_GB2312" w:eastAsia="仿宋_GB2312" w:cs="仿宋_GB2312"/>
          <w:color w:val="auto"/>
          <w:spacing w:val="8"/>
          <w:sz w:val="32"/>
          <w:szCs w:val="32"/>
          <w:u w:val="none" w:color="auto"/>
          <w:lang w:val="en-US" w:eastAsia="zh-CN"/>
        </w:rPr>
        <w:t>持续保持</w:t>
      </w:r>
      <w:r>
        <w:rPr>
          <w:rFonts w:hint="eastAsia" w:ascii="仿宋_GB2312" w:hAnsi="仿宋_GB2312" w:eastAsia="仿宋_GB2312" w:cs="仿宋_GB2312"/>
          <w:color w:val="auto"/>
          <w:spacing w:val="8"/>
          <w:sz w:val="32"/>
          <w:szCs w:val="32"/>
          <w:u w:val="none" w:color="auto"/>
        </w:rPr>
        <w:t>廉洁自律的能力</w:t>
      </w:r>
      <w:r>
        <w:rPr>
          <w:rFonts w:hint="eastAsia" w:ascii="仿宋_GB2312" w:hAnsi="仿宋_GB2312" w:eastAsia="仿宋_GB2312" w:cs="仿宋_GB2312"/>
          <w:color w:val="auto"/>
          <w:spacing w:val="8"/>
          <w:sz w:val="32"/>
          <w:szCs w:val="32"/>
          <w:u w:val="none" w:color="auto"/>
          <w:lang w:eastAsia="zh-CN"/>
        </w:rPr>
        <w:t>，</w:t>
      </w:r>
      <w:r>
        <w:rPr>
          <w:rFonts w:hint="eastAsia" w:ascii="仿宋_GB2312" w:hAnsi="仿宋_GB2312" w:eastAsia="仿宋_GB2312" w:cs="仿宋_GB2312"/>
          <w:color w:val="auto"/>
          <w:spacing w:val="8"/>
          <w:sz w:val="32"/>
          <w:szCs w:val="32"/>
          <w:u w:val="none" w:color="auto"/>
          <w:lang w:val="en-US" w:eastAsia="zh-CN"/>
        </w:rPr>
        <w:t>加强工会宣传工作提高职工意识形态认同感。</w:t>
      </w:r>
      <w:r>
        <w:rPr>
          <w:rFonts w:hint="eastAsia" w:ascii="仿宋_GB2312" w:hAnsi="仿宋_GB2312" w:eastAsia="仿宋_GB2312" w:cs="仿宋_GB2312"/>
          <w:kern w:val="0"/>
          <w:sz w:val="32"/>
          <w:szCs w:val="32"/>
          <w:u w:val="none" w:color="auto"/>
          <w:lang w:val="en-US" w:eastAsia="zh-CN"/>
        </w:rPr>
        <w:t>本项目暂未发现问题，暂无改进措施。</w:t>
      </w:r>
    </w:p>
    <w:p w14:paraId="0E9F3931">
      <w:pPr>
        <w:numPr>
          <w:ilvl w:val="0"/>
          <w:numId w:val="0"/>
        </w:numPr>
        <w:spacing w:before="188" w:line="204" w:lineRule="auto"/>
        <w:ind w:firstLine="684" w:firstLineChars="200"/>
        <w:rPr>
          <w:rFonts w:hint="eastAsia" w:ascii="仿宋" w:hAnsi="仿宋" w:eastAsia="仿宋" w:cs="仿宋"/>
          <w:color w:val="auto"/>
          <w:spacing w:val="8"/>
          <w:sz w:val="32"/>
          <w:szCs w:val="32"/>
          <w:u w:val="none" w:color="auto"/>
        </w:rPr>
      </w:pPr>
    </w:p>
    <w:tbl>
      <w:tblPr>
        <w:tblStyle w:val="21"/>
        <w:tblW w:w="884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2"/>
        <w:gridCol w:w="773"/>
        <w:gridCol w:w="772"/>
        <w:gridCol w:w="714"/>
        <w:gridCol w:w="714"/>
        <w:gridCol w:w="718"/>
        <w:gridCol w:w="714"/>
        <w:gridCol w:w="716"/>
        <w:gridCol w:w="714"/>
        <w:gridCol w:w="714"/>
        <w:gridCol w:w="742"/>
        <w:gridCol w:w="777"/>
      </w:tblGrid>
      <w:tr w14:paraId="77CD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884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6F9B74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23A62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9" w:hRule="atLeast"/>
        </w:trPr>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E6D90">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4A838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党的建设、意识形态、改革调研工作经费</w:t>
            </w:r>
          </w:p>
        </w:tc>
      </w:tr>
      <w:tr w14:paraId="3F9B2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9" w:hRule="atLeast"/>
        </w:trPr>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10361">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EEDB8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102A6">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9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7EE83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1E20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15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6C5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2CCA">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69F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F4D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D141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F30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C08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B91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6CB60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12" w:hRule="atLeast"/>
        </w:trPr>
        <w:tc>
          <w:tcPr>
            <w:tcW w:w="1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E6D1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A5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14D9">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4DBF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2024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E2F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20C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E0F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3F4A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12" w:hRule="atLeast"/>
        </w:trPr>
        <w:tc>
          <w:tcPr>
            <w:tcW w:w="1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26E6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8BE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DCB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CCC4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84F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D99C">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06A2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E3A7">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91E5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1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E9F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D8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DD9D">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E2C2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CBEA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5BD5">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62C6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E094">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39256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12" w:hRule="atLeast"/>
        </w:trPr>
        <w:tc>
          <w:tcPr>
            <w:tcW w:w="1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A0C5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B0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DAC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DCA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05BF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89D4">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2C8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3FE9">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3FF9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9" w:hRule="atLeast"/>
        </w:trPr>
        <w:tc>
          <w:tcPr>
            <w:tcW w:w="15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C92A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16CC0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6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C7F2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6710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12" w:hRule="atLeast"/>
        </w:trPr>
        <w:tc>
          <w:tcPr>
            <w:tcW w:w="15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87D5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0074C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z w:val="18"/>
                <w:szCs w:val="18"/>
                <w:u w:val="none" w:color="auto"/>
                <w:lang w:val="en-US" w:eastAsia="zh-CN"/>
              </w:rPr>
              <w:t>充分完善党建工作的，开展工会工作的改革调研，强化意识形态的培训。</w:t>
            </w:r>
          </w:p>
        </w:tc>
        <w:tc>
          <w:tcPr>
            <w:tcW w:w="36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B7FE4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按时按质的完成意识形态会议培训大会，完成党建党史学习，党员培训，有效的提升党员的党性修养，工作作风，廉洁自律的能力。</w:t>
            </w:r>
          </w:p>
        </w:tc>
      </w:tr>
      <w:tr w14:paraId="0F118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12" w:hRule="atLeast"/>
        </w:trPr>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DB9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655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1F6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3D4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827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82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5F8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05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ED2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657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468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16B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4D5E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12" w:hRule="atLeast"/>
        </w:trPr>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7D0E30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73" w:type="dxa"/>
            <w:vMerge w:val="restart"/>
            <w:tcBorders>
              <w:top w:val="single" w:color="000000" w:sz="4" w:space="0"/>
              <w:left w:val="single" w:color="000000" w:sz="4" w:space="0"/>
              <w:bottom w:val="nil"/>
              <w:right w:val="single" w:color="000000" w:sz="4" w:space="0"/>
            </w:tcBorders>
            <w:shd w:val="clear" w:color="auto" w:fill="auto"/>
            <w:vAlign w:val="center"/>
          </w:tcPr>
          <w:p w14:paraId="7B9D4B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7CF714C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A1526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召开全市工会系统宣传工作会议</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35CEA0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2539429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21980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7932C5A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B6FFB8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次数</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196CA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48453F3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7F1B76D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E0DA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68B27C4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6D87284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0A5F744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E37F0F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召开全市职工意识形态培训班</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67D706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3EB0354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C881E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4E8FEC2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D52AF0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次数</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E3A784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340ECBC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10B419B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E95B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5673E21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6A4D7A1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04B97C5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F7CC68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党风廉政建设</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ED479C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29EB08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F6EB87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58EB04E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CB69DE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次数</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C6406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50B56CF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12817A7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0EC5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7DB513A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23557D3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6214C3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689931D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召开全市职工意识形态培训班效果</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EBF4E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5BE9C76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B2765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7F062DE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B82A2C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4535DE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3F5CBC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5074DAF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E969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55FCAA9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6265D1E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70BC1D6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176201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党风廉政建设效果</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DA39A5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4EAD7A9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4DF99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3517FF2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377FBF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C25F4F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2F7CD21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2F9DA74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9C22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13"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084EE96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73637C0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23F5BC5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E129E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召开全市工会系统宣传工作会议效果</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C85241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7A30E05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74C85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42FFD58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63F931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5CC678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14AA35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23635DC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060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79F0062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12ADBE6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tcBorders>
              <w:top w:val="single" w:color="000000" w:sz="4" w:space="0"/>
              <w:left w:val="single" w:color="000000" w:sz="4" w:space="0"/>
              <w:bottom w:val="nil"/>
              <w:right w:val="single" w:color="000000" w:sz="4" w:space="0"/>
            </w:tcBorders>
            <w:shd w:val="clear" w:color="auto" w:fill="auto"/>
            <w:vAlign w:val="center"/>
          </w:tcPr>
          <w:p w14:paraId="65D4BF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39F438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完成时间</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2F05C3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7295143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330C8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2E17AEB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0473FA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1DBCCA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602CB54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14935A4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71A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519BC22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198FC96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1E73818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DDB2DE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会议召开费用</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1F688A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4FE39F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222FF0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20</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0F6A2B4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20</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67CBB60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万元</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72BE57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4558CFA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23550AA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59DF9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32DD389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4229AF9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5A7D0AE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ED64B5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党风廉政建设成本</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29FCE7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5F09553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8F5088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403D01F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2E587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77115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223F8B1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71049F8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B94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1C013C2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5DD1BED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259F26F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4B367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培训成本</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ED0573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390443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2FD99D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6AF5A7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BEED61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9FD30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222CFD3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3D529F4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7E4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13"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731CB89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restart"/>
            <w:tcBorders>
              <w:top w:val="single" w:color="000000" w:sz="4" w:space="0"/>
              <w:left w:val="single" w:color="000000" w:sz="4" w:space="0"/>
              <w:bottom w:val="nil"/>
              <w:right w:val="single" w:color="000000" w:sz="4" w:space="0"/>
            </w:tcBorders>
            <w:shd w:val="clear" w:color="auto" w:fill="auto"/>
            <w:vAlign w:val="center"/>
          </w:tcPr>
          <w:p w14:paraId="737F706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7BFFB76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75B40A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加强工会宣传工作提高职工意识形态认同感</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D3360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0312742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A872F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6C97ED6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56DC48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47C42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12DD3B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603269B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A757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128DA8C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78D4C22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6CDE003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466C503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党员思想政治水平提升</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E7F875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5E038C9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B4413B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0A96FFF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1B144A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AB4D6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0BB7CEE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0338AFD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3D5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3C34961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24A7400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52B0C8F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0292E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加强党员廉政建设</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251D61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6BA9C4F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DF2518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174EC17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6BE58D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9E6D2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374B0D7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78DF79E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040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0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2C85A72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3B0B864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05EBB0D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662BEF8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牢牢把握工会意识形态引领主阵地</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2678B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0F43A8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E24B2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186CB87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278963A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65BB75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189A18D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07E3B5D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9D8C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24BC063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restart"/>
            <w:tcBorders>
              <w:top w:val="single" w:color="000000" w:sz="4" w:space="0"/>
              <w:left w:val="single" w:color="000000" w:sz="4" w:space="0"/>
              <w:bottom w:val="nil"/>
              <w:right w:val="single" w:color="000000" w:sz="4" w:space="0"/>
            </w:tcBorders>
            <w:shd w:val="clear" w:color="auto" w:fill="auto"/>
            <w:vAlign w:val="center"/>
          </w:tcPr>
          <w:p w14:paraId="6A9D222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72" w:type="dxa"/>
            <w:vMerge w:val="restart"/>
            <w:tcBorders>
              <w:top w:val="single" w:color="000000" w:sz="4" w:space="0"/>
              <w:left w:val="single" w:color="000000" w:sz="4" w:space="0"/>
              <w:bottom w:val="nil"/>
              <w:right w:val="single" w:color="000000" w:sz="4" w:space="0"/>
            </w:tcBorders>
            <w:shd w:val="clear" w:color="auto" w:fill="auto"/>
            <w:vAlign w:val="center"/>
          </w:tcPr>
          <w:p w14:paraId="5ABE12D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47FBDA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参加活动职工的满意度</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6AFFE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670E0E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2E8C78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23B5B8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51F23DA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80B2D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23DB865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53A434A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FE5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542DC25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3" w:type="dxa"/>
            <w:vMerge w:val="continue"/>
            <w:tcBorders>
              <w:top w:val="single" w:color="000000" w:sz="4" w:space="0"/>
              <w:left w:val="single" w:color="000000" w:sz="4" w:space="0"/>
              <w:bottom w:val="nil"/>
              <w:right w:val="single" w:color="000000" w:sz="4" w:space="0"/>
            </w:tcBorders>
            <w:shd w:val="clear" w:color="auto" w:fill="auto"/>
            <w:vAlign w:val="center"/>
          </w:tcPr>
          <w:p w14:paraId="7958E52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72" w:type="dxa"/>
            <w:vMerge w:val="continue"/>
            <w:tcBorders>
              <w:top w:val="single" w:color="000000" w:sz="4" w:space="0"/>
              <w:left w:val="single" w:color="000000" w:sz="4" w:space="0"/>
              <w:bottom w:val="nil"/>
              <w:right w:val="single" w:color="000000" w:sz="4" w:space="0"/>
            </w:tcBorders>
            <w:shd w:val="clear" w:color="auto" w:fill="auto"/>
            <w:vAlign w:val="center"/>
          </w:tcPr>
          <w:p w14:paraId="34000AE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14" w:type="dxa"/>
            <w:tcBorders>
              <w:top w:val="single" w:color="000000" w:sz="4" w:space="0"/>
              <w:left w:val="single" w:color="000000" w:sz="4" w:space="0"/>
              <w:bottom w:val="nil"/>
              <w:right w:val="single" w:color="000000" w:sz="4" w:space="0"/>
            </w:tcBorders>
            <w:shd w:val="clear" w:color="auto" w:fill="auto"/>
            <w:vAlign w:val="center"/>
          </w:tcPr>
          <w:p w14:paraId="7FB308B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党员满意度</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BA465F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8" w:type="dxa"/>
            <w:tcBorders>
              <w:top w:val="single" w:color="000000" w:sz="4" w:space="0"/>
              <w:left w:val="single" w:color="000000" w:sz="4" w:space="0"/>
              <w:bottom w:val="nil"/>
              <w:right w:val="single" w:color="000000" w:sz="4" w:space="0"/>
            </w:tcBorders>
            <w:shd w:val="clear" w:color="auto" w:fill="auto"/>
            <w:vAlign w:val="center"/>
          </w:tcPr>
          <w:p w14:paraId="04BE0D2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3F0785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6" w:type="dxa"/>
            <w:tcBorders>
              <w:top w:val="single" w:color="000000" w:sz="4" w:space="0"/>
              <w:left w:val="single" w:color="000000" w:sz="4" w:space="0"/>
              <w:bottom w:val="nil"/>
              <w:right w:val="single" w:color="000000" w:sz="4" w:space="0"/>
            </w:tcBorders>
            <w:shd w:val="clear" w:color="auto" w:fill="auto"/>
            <w:vAlign w:val="center"/>
          </w:tcPr>
          <w:p w14:paraId="2E75D63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1B5630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14" w:type="dxa"/>
            <w:tcBorders>
              <w:top w:val="single" w:color="000000" w:sz="4" w:space="0"/>
              <w:left w:val="single" w:color="000000" w:sz="4" w:space="0"/>
              <w:bottom w:val="nil"/>
              <w:right w:val="single" w:color="000000" w:sz="4" w:space="0"/>
            </w:tcBorders>
            <w:shd w:val="clear" w:color="auto" w:fill="auto"/>
            <w:vAlign w:val="center"/>
          </w:tcPr>
          <w:p w14:paraId="0BB1D56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42" w:type="dxa"/>
            <w:tcBorders>
              <w:top w:val="single" w:color="000000" w:sz="4" w:space="0"/>
              <w:left w:val="single" w:color="000000" w:sz="4" w:space="0"/>
              <w:bottom w:val="nil"/>
              <w:right w:val="single" w:color="000000" w:sz="4" w:space="0"/>
            </w:tcBorders>
            <w:shd w:val="clear" w:color="auto" w:fill="auto"/>
            <w:vAlign w:val="center"/>
          </w:tcPr>
          <w:p w14:paraId="2F80B8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597E61C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F540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691" w:hRule="atLeast"/>
        </w:trPr>
        <w:tc>
          <w:tcPr>
            <w:tcW w:w="66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B0270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9B7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C0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CFB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22DD5471">
      <w:pPr>
        <w:numPr>
          <w:ilvl w:val="0"/>
          <w:numId w:val="0"/>
        </w:numPr>
        <w:overflowPunct w:val="0"/>
        <w:topLinePunct/>
        <w:spacing w:before="188" w:line="204" w:lineRule="auto"/>
        <w:ind w:leftChars="200"/>
        <w:rPr>
          <w:rFonts w:hint="eastAsia" w:ascii="仿宋" w:hAnsi="仿宋" w:eastAsia="仿宋" w:cs="仿宋"/>
          <w:color w:val="auto"/>
          <w:spacing w:val="8"/>
          <w:sz w:val="32"/>
          <w:szCs w:val="32"/>
          <w:u w:val="none" w:color="auto"/>
        </w:rPr>
      </w:pPr>
    </w:p>
    <w:p w14:paraId="12980686">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4.</w:t>
      </w:r>
      <w:r>
        <w:rPr>
          <w:rFonts w:hint="eastAsia" w:ascii="仿宋_GB2312" w:hAnsi="仿宋_GB2312" w:eastAsia="仿宋_GB2312" w:cs="仿宋_GB2312"/>
          <w:kern w:val="0"/>
          <w:sz w:val="32"/>
          <w:szCs w:val="32"/>
          <w:u w:val="none" w:color="auto"/>
        </w:rPr>
        <w:t>劳模疗休养经费项目自评综述：根据年初设定的绩效目标，项目自评得分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w:t>
      </w:r>
      <w:r>
        <w:rPr>
          <w:rFonts w:hint="eastAsia" w:ascii="仿宋_GB2312" w:hAnsi="仿宋_GB2312" w:eastAsia="仿宋_GB2312" w:cs="仿宋_GB2312"/>
          <w:color w:val="auto"/>
          <w:spacing w:val="8"/>
          <w:sz w:val="32"/>
          <w:szCs w:val="32"/>
          <w:u w:val="none" w:color="auto"/>
        </w:rPr>
        <w:t>适时</w:t>
      </w:r>
      <w:r>
        <w:rPr>
          <w:rFonts w:hint="eastAsia" w:ascii="仿宋_GB2312" w:hAnsi="仿宋_GB2312" w:eastAsia="仿宋_GB2312" w:cs="仿宋_GB2312"/>
          <w:color w:val="auto"/>
          <w:spacing w:val="8"/>
          <w:sz w:val="32"/>
          <w:szCs w:val="32"/>
          <w:u w:val="none" w:color="auto"/>
          <w:lang w:eastAsia="zh-CN"/>
        </w:rPr>
        <w:t>组织</w:t>
      </w:r>
      <w:r>
        <w:rPr>
          <w:rFonts w:hint="eastAsia" w:ascii="仿宋_GB2312" w:hAnsi="仿宋_GB2312" w:eastAsia="仿宋_GB2312" w:cs="仿宋_GB2312"/>
          <w:color w:val="auto"/>
          <w:spacing w:val="8"/>
          <w:sz w:val="32"/>
          <w:szCs w:val="32"/>
          <w:u w:val="none" w:color="auto"/>
          <w:lang w:val="en-US" w:eastAsia="zh-CN"/>
        </w:rPr>
        <w:t>30人</w:t>
      </w:r>
      <w:r>
        <w:rPr>
          <w:rFonts w:hint="eastAsia" w:ascii="仿宋_GB2312" w:hAnsi="仿宋_GB2312" w:eastAsia="仿宋_GB2312" w:cs="仿宋_GB2312"/>
          <w:color w:val="auto"/>
          <w:spacing w:val="8"/>
          <w:sz w:val="32"/>
          <w:szCs w:val="32"/>
          <w:u w:val="none" w:color="auto"/>
        </w:rPr>
        <w:t>劳模</w:t>
      </w:r>
      <w:r>
        <w:rPr>
          <w:rFonts w:hint="eastAsia" w:ascii="仿宋_GB2312" w:hAnsi="仿宋_GB2312" w:eastAsia="仿宋_GB2312" w:cs="仿宋_GB2312"/>
          <w:color w:val="auto"/>
          <w:spacing w:val="8"/>
          <w:sz w:val="32"/>
          <w:szCs w:val="32"/>
          <w:u w:val="none" w:color="auto"/>
          <w:lang w:eastAsia="zh-CN"/>
        </w:rPr>
        <w:t>进行</w:t>
      </w:r>
      <w:r>
        <w:rPr>
          <w:rFonts w:hint="eastAsia" w:ascii="仿宋_GB2312" w:hAnsi="仿宋_GB2312" w:eastAsia="仿宋_GB2312" w:cs="仿宋_GB2312"/>
          <w:color w:val="auto"/>
          <w:spacing w:val="8"/>
          <w:sz w:val="32"/>
          <w:szCs w:val="32"/>
          <w:u w:val="none" w:color="auto"/>
        </w:rPr>
        <w:t>疗休养</w:t>
      </w:r>
      <w:r>
        <w:rPr>
          <w:rFonts w:hint="eastAsia" w:ascii="仿宋_GB2312" w:hAnsi="仿宋_GB2312" w:eastAsia="仿宋_GB2312" w:cs="仿宋_GB2312"/>
          <w:color w:val="auto"/>
          <w:spacing w:val="8"/>
          <w:sz w:val="32"/>
          <w:szCs w:val="32"/>
          <w:u w:val="none" w:color="auto"/>
          <w:lang w:val="en-US" w:eastAsia="zh-CN"/>
        </w:rPr>
        <w:t>1次</w:t>
      </w:r>
      <w:r>
        <w:rPr>
          <w:rFonts w:hint="eastAsia" w:ascii="仿宋_GB2312" w:hAnsi="仿宋_GB2312" w:eastAsia="仿宋_GB2312" w:cs="仿宋_GB2312"/>
          <w:color w:val="auto"/>
          <w:spacing w:val="8"/>
          <w:sz w:val="32"/>
          <w:szCs w:val="32"/>
          <w:u w:val="none" w:color="auto"/>
        </w:rPr>
        <w:t>，</w:t>
      </w:r>
      <w:r>
        <w:rPr>
          <w:rFonts w:hint="eastAsia" w:ascii="仿宋_GB2312" w:hAnsi="仿宋_GB2312" w:eastAsia="仿宋_GB2312" w:cs="仿宋_GB2312"/>
          <w:color w:val="auto"/>
          <w:spacing w:val="8"/>
          <w:sz w:val="32"/>
          <w:szCs w:val="32"/>
          <w:u w:val="none" w:color="auto"/>
          <w:lang w:eastAsia="zh-CN"/>
        </w:rPr>
        <w:t>劳模满意度达到</w:t>
      </w:r>
      <w:r>
        <w:rPr>
          <w:rFonts w:hint="eastAsia" w:ascii="仿宋_GB2312" w:hAnsi="仿宋_GB2312" w:eastAsia="仿宋_GB2312" w:cs="仿宋_GB2312"/>
          <w:color w:val="auto"/>
          <w:spacing w:val="8"/>
          <w:sz w:val="32"/>
          <w:szCs w:val="32"/>
          <w:u w:val="none" w:color="auto"/>
          <w:lang w:val="en-US" w:eastAsia="zh-CN"/>
        </w:rPr>
        <w:t>95%，</w:t>
      </w:r>
      <w:r>
        <w:rPr>
          <w:rFonts w:hint="eastAsia" w:ascii="仿宋_GB2312" w:hAnsi="仿宋_GB2312" w:eastAsia="仿宋_GB2312" w:cs="仿宋_GB2312"/>
          <w:color w:val="auto"/>
          <w:spacing w:val="8"/>
          <w:sz w:val="32"/>
          <w:szCs w:val="32"/>
          <w:u w:val="none" w:color="auto"/>
        </w:rPr>
        <w:t>充分体现了党和国家对劳动模范的关心和关怀，大力弘扬劳模精神，推动形成崇尚劳模，争当劳模，关爱劳模的良好社会氛围。</w:t>
      </w:r>
      <w:r>
        <w:rPr>
          <w:rFonts w:hint="eastAsia" w:ascii="仿宋_GB2312" w:hAnsi="仿宋_GB2312" w:eastAsia="仿宋_GB2312" w:cs="仿宋_GB2312"/>
          <w:kern w:val="0"/>
          <w:sz w:val="32"/>
          <w:szCs w:val="32"/>
          <w:u w:val="none" w:color="auto"/>
          <w:lang w:val="en-US" w:eastAsia="zh-CN"/>
        </w:rPr>
        <w:t>本项目暂未发现问题，暂无改进措施。</w:t>
      </w:r>
    </w:p>
    <w:p w14:paraId="5AFBFE61">
      <w:pPr>
        <w:numPr>
          <w:ilvl w:val="0"/>
          <w:numId w:val="0"/>
        </w:numPr>
        <w:spacing w:before="188" w:line="204" w:lineRule="auto"/>
        <w:ind w:firstLine="684" w:firstLineChars="200"/>
        <w:rPr>
          <w:rFonts w:hint="eastAsia" w:ascii="仿宋" w:hAnsi="仿宋" w:eastAsia="仿宋" w:cs="仿宋"/>
          <w:color w:val="auto"/>
          <w:spacing w:val="8"/>
          <w:sz w:val="32"/>
          <w:szCs w:val="32"/>
          <w:u w:val="none" w:color="auto"/>
        </w:rPr>
      </w:pPr>
    </w:p>
    <w:tbl>
      <w:tblPr>
        <w:tblStyle w:val="21"/>
        <w:tblW w:w="8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764"/>
        <w:gridCol w:w="763"/>
        <w:gridCol w:w="706"/>
        <w:gridCol w:w="706"/>
        <w:gridCol w:w="709"/>
        <w:gridCol w:w="708"/>
        <w:gridCol w:w="706"/>
        <w:gridCol w:w="707"/>
        <w:gridCol w:w="707"/>
        <w:gridCol w:w="732"/>
        <w:gridCol w:w="769"/>
      </w:tblGrid>
      <w:tr w14:paraId="0097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874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7B28A0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7D991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93FCC">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2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ED0CF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劳模疗休养经费</w:t>
            </w:r>
          </w:p>
        </w:tc>
      </w:tr>
      <w:tr w14:paraId="0CC5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D1A50">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8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ECE78">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EAF6E">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9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E4894A">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7053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15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0104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7C25">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B5D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398A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1DB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CD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CA2C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CE2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51948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6DB9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00E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B5B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FE8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7EFE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118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A201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615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68670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38C1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659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22B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E5E7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E806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6D80">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1B64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43FD">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E0C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E582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42C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EAAA">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003E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0E3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B515">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2F9A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ECB1">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3C7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E6A4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1B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0D3F">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D771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4EEB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7D5E">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8B63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AB70">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6EC91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59F5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D1090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6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3256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25546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7BC1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1E1507">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组织开展一批劳模疗休养工作，</w:t>
            </w:r>
            <w:r>
              <w:rPr>
                <w:rFonts w:hint="eastAsia" w:ascii="宋体" w:hAnsi="宋体" w:eastAsia="宋体" w:cs="宋体"/>
                <w:i w:val="0"/>
                <w:iCs w:val="0"/>
                <w:color w:val="000000"/>
                <w:spacing w:val="-6"/>
                <w:kern w:val="0"/>
                <w:sz w:val="18"/>
                <w:szCs w:val="18"/>
                <w:u w:val="none" w:color="auto"/>
                <w:lang w:val="en-US" w:eastAsia="zh-CN" w:bidi="ar"/>
              </w:rPr>
              <w:t>充分体现了党和国家对劳动模范的关心和关怀。</w:t>
            </w:r>
          </w:p>
        </w:tc>
        <w:tc>
          <w:tcPr>
            <w:tcW w:w="36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3D8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适时开展了劳模疗休养工作，充分体现了党和国家对劳动模范的关心和关怀，大力弘扬劳模精神，推动形成崇尚劳模，争当劳模，关爱劳模的良好社会氛围。</w:t>
            </w:r>
          </w:p>
        </w:tc>
      </w:tr>
      <w:tr w14:paraId="348A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2"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3C9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7E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332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D1D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CAE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7C0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AC8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164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6D7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AAD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578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363B">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44841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3" w:hRule="atLeast"/>
        </w:trPr>
        <w:tc>
          <w:tcPr>
            <w:tcW w:w="763" w:type="dxa"/>
            <w:vMerge w:val="restart"/>
            <w:tcBorders>
              <w:top w:val="single" w:color="000000" w:sz="4" w:space="0"/>
              <w:left w:val="single" w:color="000000" w:sz="4" w:space="0"/>
              <w:bottom w:val="nil"/>
              <w:right w:val="single" w:color="000000" w:sz="4" w:space="0"/>
            </w:tcBorders>
            <w:shd w:val="clear" w:color="auto" w:fill="auto"/>
            <w:vAlign w:val="center"/>
          </w:tcPr>
          <w:p w14:paraId="5017BA7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4" w:type="dxa"/>
            <w:vMerge w:val="restart"/>
            <w:tcBorders>
              <w:top w:val="single" w:color="000000" w:sz="4" w:space="0"/>
              <w:left w:val="single" w:color="000000" w:sz="4" w:space="0"/>
              <w:bottom w:val="nil"/>
              <w:right w:val="single" w:color="000000" w:sz="4" w:space="0"/>
            </w:tcBorders>
            <w:shd w:val="clear" w:color="auto" w:fill="auto"/>
            <w:vAlign w:val="center"/>
          </w:tcPr>
          <w:p w14:paraId="50F357C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6E43B7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5F8EE2E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参加劳模疗休养人数</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115278B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3A29588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403C35F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842AA5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92CD23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592B24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529474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1DBF2D2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BAD0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429AFB0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1445D15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172945B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86C6E6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劳模覆盖范围</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4CC687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2B02557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744F43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AACB0D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1169FB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941963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6AAD635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20DC532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659C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6402F69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1F27ABA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5D9ED7F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72BDCE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劳模疗休养完成时间</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09F554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595E2B5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3C6C6CC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2D80AA2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54CA53D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648682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793AA30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6E35370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349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6306B05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66FD596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5B0BF0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C67741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劳模疗休养人均成本</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443870F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76968C5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14DE9B1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3300</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53DB01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3300</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74E4AAC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52C83BE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6534224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422E785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5824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682BA8D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restart"/>
            <w:tcBorders>
              <w:top w:val="single" w:color="000000" w:sz="4" w:space="0"/>
              <w:left w:val="single" w:color="000000" w:sz="4" w:space="0"/>
              <w:bottom w:val="nil"/>
              <w:right w:val="single" w:color="000000" w:sz="4" w:space="0"/>
            </w:tcBorders>
            <w:shd w:val="clear" w:color="auto" w:fill="auto"/>
            <w:vAlign w:val="center"/>
          </w:tcPr>
          <w:p w14:paraId="3DE8240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3D43F5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0EFD6C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促进劳模身心健康</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5A3C96F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621F9FB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02D7585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BA9B3E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5E87299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7BA829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33BAC2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5C972D7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9F15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0617B44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0759D43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7242889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4D08569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增强劳模的模范带头作用</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2EBEEC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62F24F4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71E5EA8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9F5EA8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026691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8FABE1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416A53D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7051021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7CF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5A24A6F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tcBorders>
              <w:top w:val="single" w:color="000000" w:sz="4" w:space="0"/>
              <w:left w:val="single" w:color="000000" w:sz="4" w:space="0"/>
              <w:bottom w:val="nil"/>
              <w:right w:val="single" w:color="000000" w:sz="4" w:space="0"/>
            </w:tcBorders>
            <w:shd w:val="clear" w:color="auto" w:fill="auto"/>
            <w:vAlign w:val="center"/>
          </w:tcPr>
          <w:p w14:paraId="305991D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7D5875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017FF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参与劳模的满意度</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1B3FE30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1389065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7613133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1766A92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0F14E6F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7CAAD00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1BBFA0C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3E128A4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28EF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53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78752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F1B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CBD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FF2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68382FD4">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 w:hAnsi="仿宋" w:cs="仿宋"/>
          <w:kern w:val="0"/>
          <w:sz w:val="32"/>
          <w:szCs w:val="32"/>
          <w:u w:val="none" w:color="auto"/>
          <w:lang w:val="en-US" w:eastAsia="zh-CN"/>
        </w:rPr>
        <w:t>5.</w:t>
      </w:r>
      <w:r>
        <w:rPr>
          <w:rFonts w:hint="eastAsia" w:ascii="仿宋_GB2312" w:hAnsi="仿宋_GB2312" w:eastAsia="仿宋_GB2312" w:cs="仿宋_GB2312"/>
          <w:kern w:val="0"/>
          <w:sz w:val="32"/>
          <w:szCs w:val="32"/>
          <w:u w:val="none" w:color="auto"/>
        </w:rPr>
        <w:t>劳模体检费及荣誉津贴经费项目自评综述：根据年初设定的绩效目标，项目自评得分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2023年度完成劳模津补贴发放人数120人，体检人数40人，覆盖劳模率95%，劳模满意度达到95%</w:t>
      </w:r>
      <w:r>
        <w:rPr>
          <w:rFonts w:hint="eastAsia" w:ascii="仿宋_GB2312" w:hAnsi="仿宋_GB2312" w:eastAsia="仿宋_GB2312" w:cs="仿宋_GB2312"/>
          <w:color w:val="auto"/>
          <w:spacing w:val="8"/>
          <w:sz w:val="32"/>
          <w:szCs w:val="32"/>
          <w:u w:val="none" w:color="auto"/>
        </w:rPr>
        <w:t>，</w:t>
      </w:r>
      <w:r>
        <w:rPr>
          <w:rFonts w:hint="eastAsia" w:ascii="仿宋_GB2312" w:hAnsi="仿宋_GB2312" w:eastAsia="仿宋_GB2312" w:cs="仿宋_GB2312"/>
          <w:kern w:val="0"/>
          <w:sz w:val="32"/>
          <w:szCs w:val="32"/>
          <w:u w:val="none" w:color="auto"/>
          <w:lang w:val="en-US" w:eastAsia="zh-CN"/>
        </w:rPr>
        <w:t>稳定落实劳模待遇，</w:t>
      </w:r>
      <w:r>
        <w:rPr>
          <w:rFonts w:hint="eastAsia" w:ascii="仿宋_GB2312" w:hAnsi="仿宋_GB2312" w:eastAsia="仿宋_GB2312" w:cs="仿宋_GB2312"/>
          <w:color w:val="auto"/>
          <w:spacing w:val="8"/>
          <w:sz w:val="32"/>
          <w:szCs w:val="32"/>
          <w:u w:val="none" w:color="auto"/>
        </w:rPr>
        <w:t>保障劳</w:t>
      </w:r>
      <w:r>
        <w:rPr>
          <w:rFonts w:hint="eastAsia" w:ascii="仿宋_GB2312" w:hAnsi="仿宋_GB2312" w:eastAsia="仿宋_GB2312" w:cs="仿宋_GB2312"/>
          <w:color w:val="auto"/>
          <w:spacing w:val="25"/>
          <w:sz w:val="32"/>
          <w:szCs w:val="32"/>
          <w:u w:val="none" w:color="auto"/>
        </w:rPr>
        <w:t>模享受健康检查，发挥劳模带头作用</w:t>
      </w:r>
      <w:r>
        <w:rPr>
          <w:rFonts w:hint="eastAsia" w:ascii="仿宋_GB2312" w:hAnsi="仿宋_GB2312" w:eastAsia="仿宋_GB2312" w:cs="仿宋_GB2312"/>
          <w:color w:val="auto"/>
          <w:spacing w:val="25"/>
          <w:sz w:val="32"/>
          <w:szCs w:val="32"/>
          <w:u w:val="none" w:color="auto"/>
          <w:lang w:eastAsia="zh-CN"/>
        </w:rPr>
        <w:t>，</w:t>
      </w:r>
      <w:r>
        <w:rPr>
          <w:rFonts w:hint="eastAsia" w:ascii="仿宋_GB2312" w:hAnsi="仿宋_GB2312" w:eastAsia="仿宋_GB2312" w:cs="仿宋_GB2312"/>
          <w:spacing w:val="11"/>
          <w:kern w:val="0"/>
          <w:sz w:val="32"/>
          <w:szCs w:val="32"/>
          <w:u w:val="none" w:color="auto"/>
          <w:lang w:val="en-US" w:eastAsia="zh-CN"/>
        </w:rPr>
        <w:t>持续弘扬劳</w:t>
      </w:r>
      <w:r>
        <w:rPr>
          <w:rFonts w:hint="eastAsia" w:ascii="仿宋_GB2312" w:hAnsi="仿宋_GB2312" w:eastAsia="仿宋_GB2312" w:cs="仿宋_GB2312"/>
          <w:spacing w:val="-6"/>
          <w:kern w:val="0"/>
          <w:sz w:val="32"/>
          <w:szCs w:val="32"/>
          <w:u w:val="none" w:color="auto"/>
          <w:lang w:val="en-US" w:eastAsia="zh-CN"/>
        </w:rPr>
        <w:t>模</w:t>
      </w:r>
      <w:r>
        <w:rPr>
          <w:rFonts w:hint="eastAsia" w:ascii="仿宋_GB2312" w:hAnsi="仿宋_GB2312" w:eastAsia="仿宋_GB2312" w:cs="仿宋_GB2312"/>
          <w:kern w:val="0"/>
          <w:sz w:val="32"/>
          <w:szCs w:val="32"/>
          <w:u w:val="none" w:color="auto"/>
          <w:lang w:val="en-US" w:eastAsia="zh-CN"/>
        </w:rPr>
        <w:t>精神。本项目暂未发现问题，暂无改进措施。</w:t>
      </w:r>
    </w:p>
    <w:p w14:paraId="5AE6AE57">
      <w:pPr>
        <w:numPr>
          <w:ilvl w:val="0"/>
          <w:numId w:val="0"/>
        </w:numPr>
        <w:spacing w:before="188" w:line="204" w:lineRule="auto"/>
        <w:ind w:firstLine="684" w:firstLineChars="200"/>
        <w:rPr>
          <w:rFonts w:hint="eastAsia" w:ascii="仿宋" w:hAnsi="仿宋" w:eastAsia="仿宋" w:cs="仿宋"/>
          <w:color w:val="auto"/>
          <w:spacing w:val="8"/>
          <w:sz w:val="32"/>
          <w:szCs w:val="32"/>
          <w:u w:val="none" w:color="auto"/>
        </w:rPr>
      </w:pPr>
    </w:p>
    <w:tbl>
      <w:tblPr>
        <w:tblStyle w:val="21"/>
        <w:tblW w:w="90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3"/>
        <w:gridCol w:w="794"/>
        <w:gridCol w:w="793"/>
        <w:gridCol w:w="734"/>
        <w:gridCol w:w="734"/>
        <w:gridCol w:w="736"/>
        <w:gridCol w:w="735"/>
        <w:gridCol w:w="734"/>
        <w:gridCol w:w="734"/>
        <w:gridCol w:w="734"/>
        <w:gridCol w:w="762"/>
        <w:gridCol w:w="797"/>
      </w:tblGrid>
      <w:tr w14:paraId="30B0C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trHeight w:val="1164" w:hRule="atLeast"/>
        </w:trPr>
        <w:tc>
          <w:tcPr>
            <w:tcW w:w="908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48B488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6725D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551CD">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49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5BF70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劳模体检费及荣誉津贴经费</w:t>
            </w:r>
          </w:p>
        </w:tc>
      </w:tr>
      <w:tr w14:paraId="02EF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89F6F">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9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C589DA">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183BE">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30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E298A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48E31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1D61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F7BA">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E1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AE4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D2FC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BA3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629F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41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2A13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1682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5FA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204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B634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2419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24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D3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89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1AF69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FEAA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7B60">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030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0000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C950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68FB">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B753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7F2D">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3FD6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DDF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5B4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52F9">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7519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C9CD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F037">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E7FB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68FC">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2904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13E7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A69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DBA2">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6F76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770A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5E0C">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F5F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78B3">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156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6749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1163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7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B4505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58D0C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01"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8B96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60DFB">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根据文件要求，按年考核劳模档案，精准发放劳模荣誉津贴，并组织符合条件的劳模进行劳模体检。</w:t>
            </w:r>
          </w:p>
        </w:tc>
        <w:tc>
          <w:tcPr>
            <w:tcW w:w="37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4A22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精准发放劳模荣誉津贴，提高劳模待遇，保障劳模享受健康检查，发挥劳模带头作用。</w:t>
            </w:r>
          </w:p>
        </w:tc>
      </w:tr>
      <w:tr w14:paraId="33592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5AB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0A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B6A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239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CAF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5DE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AA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0BD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889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9E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9C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04B1">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3664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9" w:hRule="atLeast"/>
        </w:trPr>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41FFD1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94" w:type="dxa"/>
            <w:vMerge w:val="restart"/>
            <w:tcBorders>
              <w:top w:val="single" w:color="000000" w:sz="4" w:space="0"/>
              <w:left w:val="single" w:color="000000" w:sz="4" w:space="0"/>
              <w:bottom w:val="nil"/>
              <w:right w:val="single" w:color="000000" w:sz="4" w:space="0"/>
            </w:tcBorders>
            <w:shd w:val="clear" w:color="auto" w:fill="auto"/>
            <w:vAlign w:val="center"/>
          </w:tcPr>
          <w:p w14:paraId="049E927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1053703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5326A4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发放荣誉津贴人数</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53906B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7F3515C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13866E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F95BB1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120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C90B27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DB1671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81F30F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1F41F91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350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4187638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44CCA25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57AB843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526F47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劳模体检人数</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050331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3F00CA4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6E49D1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B5B6D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80611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F09479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4533D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2CFD874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5BBD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7779379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3C58EDA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nil"/>
              <w:right w:val="single" w:color="000000" w:sz="4" w:space="0"/>
            </w:tcBorders>
            <w:shd w:val="clear" w:color="auto" w:fill="auto"/>
            <w:vAlign w:val="center"/>
          </w:tcPr>
          <w:p w14:paraId="3D05239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86D18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参与体检和津补贴的劳模覆盖面</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E5EDF2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421BB9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5D2615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201344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1DB6F8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1C8FFF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6EE186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6FD25B4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E14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C889DF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6DACD67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nil"/>
              <w:right w:val="single" w:color="000000" w:sz="4" w:space="0"/>
            </w:tcBorders>
            <w:shd w:val="clear" w:color="auto" w:fill="auto"/>
            <w:vAlign w:val="center"/>
          </w:tcPr>
          <w:p w14:paraId="02D63B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47ADC1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劳模体检及津补贴发放时间</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1AA6EA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3169969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DB5AF6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7ED9FD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612960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4D889C9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904B69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1A4956F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DE54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92555B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4540527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0035077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D4E083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劳模体检人均成本</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CAB26D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38A9837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BC27B4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10997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9A582C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6F346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C218A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5D4F2BE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94FD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4E664FB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1E54155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1A2B018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131A4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劳模津补贴人均成本</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4C1E68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586FC0A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F5109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0E3C1F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56BE29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43A84E4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AB79BF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0661B59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802B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51B6D2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restart"/>
            <w:tcBorders>
              <w:top w:val="single" w:color="000000" w:sz="4" w:space="0"/>
              <w:left w:val="single" w:color="000000" w:sz="4" w:space="0"/>
              <w:bottom w:val="nil"/>
              <w:right w:val="single" w:color="000000" w:sz="4" w:space="0"/>
            </w:tcBorders>
            <w:shd w:val="clear" w:color="auto" w:fill="auto"/>
            <w:vAlign w:val="center"/>
          </w:tcPr>
          <w:p w14:paraId="74537C8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93" w:type="dxa"/>
            <w:tcBorders>
              <w:top w:val="single" w:color="000000" w:sz="4" w:space="0"/>
              <w:left w:val="single" w:color="000000" w:sz="4" w:space="0"/>
              <w:bottom w:val="nil"/>
              <w:right w:val="single" w:color="000000" w:sz="4" w:space="0"/>
            </w:tcBorders>
            <w:shd w:val="clear" w:color="auto" w:fill="auto"/>
            <w:vAlign w:val="center"/>
          </w:tcPr>
          <w:p w14:paraId="0C30D00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537BFE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稳定落实劳模待遇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33C85C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2F70201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01FBFB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BB637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9514C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7AA892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7F984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4D34D43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3D2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3532275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06C5E96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nil"/>
              <w:right w:val="single" w:color="000000" w:sz="4" w:space="0"/>
            </w:tcBorders>
            <w:shd w:val="clear" w:color="auto" w:fill="auto"/>
            <w:vAlign w:val="center"/>
          </w:tcPr>
          <w:p w14:paraId="02D2CA7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676DF3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持续弘扬劳模精神</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54ADF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36EF470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AF11F1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DB02F1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D583C3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A5B693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5E0BE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25D5C9B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52A18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202517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restart"/>
            <w:tcBorders>
              <w:top w:val="single" w:color="000000" w:sz="4" w:space="0"/>
              <w:left w:val="single" w:color="000000" w:sz="4" w:space="0"/>
              <w:bottom w:val="nil"/>
              <w:right w:val="single" w:color="000000" w:sz="4" w:space="0"/>
            </w:tcBorders>
            <w:shd w:val="clear" w:color="auto" w:fill="auto"/>
            <w:vAlign w:val="center"/>
          </w:tcPr>
          <w:p w14:paraId="447EC69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68FD32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4B01A79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参与体检劳模的满意度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34C32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7F24F23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EBBE3A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033D4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24B91F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278B54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4D6562C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250BA51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EF7C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47C7D2F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3DF3DD3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342BB45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90B513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享受津补贴发放的劳模满意度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C13512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6CF9057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C1C7A8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3D343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F9C0C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0DA6BC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EEE74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5C1B165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0C3A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38" w:hRule="atLeast"/>
        </w:trPr>
        <w:tc>
          <w:tcPr>
            <w:tcW w:w="678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F720F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D3C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D58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AAF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24275839">
      <w:pPr>
        <w:numPr>
          <w:ilvl w:val="0"/>
          <w:numId w:val="0"/>
        </w:numPr>
        <w:overflowPunct w:val="0"/>
        <w:topLinePunct/>
        <w:spacing w:before="188" w:line="204" w:lineRule="auto"/>
        <w:ind w:leftChars="200"/>
        <w:rPr>
          <w:rFonts w:hint="eastAsia" w:ascii="仿宋" w:hAnsi="仿宋" w:eastAsia="仿宋" w:cs="仿宋"/>
          <w:color w:val="auto"/>
          <w:spacing w:val="8"/>
          <w:sz w:val="32"/>
          <w:szCs w:val="32"/>
          <w:u w:val="none" w:color="auto"/>
          <w:lang w:val="en-US" w:eastAsia="zh-CN"/>
        </w:rPr>
      </w:pPr>
    </w:p>
    <w:p w14:paraId="5B971033">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（三）部门（单位）项目绩效评价结果。</w:t>
      </w:r>
    </w:p>
    <w:p w14:paraId="25360F87">
      <w:pPr>
        <w:widowControl/>
        <w:overflowPunct w:val="0"/>
        <w:topLinePunct/>
        <w:spacing w:before="240" w:after="240"/>
        <w:ind w:firstLine="628" w:firstLineChars="200"/>
        <w:rPr>
          <w:rFonts w:hint="eastAsia" w:ascii="方正小标宋_GBK" w:eastAsia="方正小标宋_GBK"/>
          <w:sz w:val="44"/>
          <w:szCs w:val="44"/>
          <w:u w:val="none" w:color="auto"/>
        </w:rPr>
      </w:pPr>
      <w:r>
        <w:rPr>
          <w:rFonts w:hint="eastAsia" w:ascii="仿宋" w:hAnsi="仿宋" w:cs="仿宋"/>
          <w:kern w:val="0"/>
          <w:sz w:val="32"/>
          <w:szCs w:val="32"/>
          <w:u w:val="none" w:color="auto"/>
          <w:lang w:val="en-US" w:eastAsia="zh-CN"/>
        </w:rPr>
        <w:t>本单位未对项目开展重点绩效评价。</w:t>
      </w:r>
    </w:p>
    <w:p w14:paraId="7D51245D">
      <w:pPr>
        <w:pStyle w:val="3"/>
        <w:keepNext w:val="0"/>
        <w:keepLines w:val="0"/>
        <w:widowControl/>
        <w:overflowPunct w:val="0"/>
        <w:topLinePunct/>
        <w:spacing w:before="299" w:after="299" w:line="240" w:lineRule="auto"/>
        <w:jc w:val="center"/>
        <w:outlineLvl w:val="0"/>
        <w:rPr>
          <w:rFonts w:hint="eastAsia" w:ascii="方正大标宋简体" w:hAnsi="方正大标宋简体" w:eastAsia="方正大标宋简体" w:cs="方正大标宋简体"/>
          <w:b/>
          <w:bCs/>
          <w:kern w:val="0"/>
          <w:sz w:val="44"/>
          <w:szCs w:val="44"/>
          <w:u w:val="none" w:color="auto"/>
        </w:rPr>
      </w:pPr>
      <w:bookmarkStart w:id="21" w:name="_Toc2498"/>
      <w:r>
        <w:rPr>
          <w:rFonts w:hint="eastAsia" w:ascii="方正大标宋简体" w:hAnsi="方正大标宋简体" w:eastAsia="方正大标宋简体" w:cs="方正大标宋简体"/>
          <w:kern w:val="0"/>
          <w:sz w:val="44"/>
          <w:szCs w:val="44"/>
          <w:u w:val="none" w:color="auto"/>
        </w:rPr>
        <w:t>第三部分 名词解释</w:t>
      </w:r>
      <w:bookmarkEnd w:id="21"/>
    </w:p>
    <w:p w14:paraId="52C7B64F">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一、财政拨款收入：</w:t>
      </w:r>
      <w:r>
        <w:rPr>
          <w:rFonts w:hint="eastAsia" w:ascii="仿宋" w:hAnsi="仿宋" w:eastAsia="仿宋" w:cs="仿宋"/>
          <w:kern w:val="0"/>
          <w:sz w:val="32"/>
          <w:szCs w:val="32"/>
          <w:u w:val="none" w:color="auto"/>
        </w:rPr>
        <w:t>从同级财政部门取得的各类财政拨款，包括一般公共预算财政拨款、政府性基金预算财政拨款、国有资本经营预算财政拨款。</w:t>
      </w:r>
    </w:p>
    <w:p w14:paraId="36817054">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二、上级补助收入：</w:t>
      </w:r>
      <w:r>
        <w:rPr>
          <w:rFonts w:hint="eastAsia" w:ascii="仿宋" w:hAnsi="仿宋" w:eastAsia="仿宋" w:cs="仿宋"/>
          <w:kern w:val="0"/>
          <w:sz w:val="32"/>
          <w:szCs w:val="32"/>
          <w:u w:val="none" w:color="auto"/>
        </w:rPr>
        <w:t>指事业单位从主管部门和上级单位取得的非财政补助收入。</w:t>
      </w:r>
    </w:p>
    <w:p w14:paraId="5B048296">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三、财政专户管理教育收费：</w:t>
      </w:r>
      <w:r>
        <w:rPr>
          <w:rFonts w:hint="eastAsia" w:ascii="仿宋" w:hAnsi="仿宋" w:eastAsia="仿宋" w:cs="仿宋"/>
          <w:kern w:val="0"/>
          <w:sz w:val="32"/>
          <w:szCs w:val="32"/>
          <w:u w:val="none" w:color="auto"/>
        </w:rPr>
        <w:t>指缴入财政专户、实行专项管理的高中以上学费、住宿费、高校委托培养费、函大、电大、夜大及短训班培训费等教育收费。</w:t>
      </w:r>
    </w:p>
    <w:p w14:paraId="3274542C">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四、事业收入：</w:t>
      </w:r>
      <w:r>
        <w:rPr>
          <w:rFonts w:hint="eastAsia" w:ascii="仿宋" w:hAnsi="仿宋" w:eastAsia="仿宋" w:cs="仿宋"/>
          <w:kern w:val="0"/>
          <w:sz w:val="32"/>
          <w:szCs w:val="32"/>
          <w:u w:val="none" w:color="auto"/>
        </w:rPr>
        <w:t>指事业单位开展专业业务活动及其辅助活动取得的收入。</w:t>
      </w:r>
    </w:p>
    <w:p w14:paraId="02DB055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五、经营收入：</w:t>
      </w:r>
      <w:r>
        <w:rPr>
          <w:rFonts w:hint="eastAsia" w:ascii="仿宋" w:hAnsi="仿宋" w:eastAsia="仿宋" w:cs="仿宋"/>
          <w:kern w:val="0"/>
          <w:sz w:val="32"/>
          <w:szCs w:val="32"/>
          <w:u w:val="none" w:color="auto"/>
        </w:rPr>
        <w:t>指事业单位在专业业务活动及其辅助活动之外开展非独立核算经营活动取得的收入。</w:t>
      </w:r>
    </w:p>
    <w:p w14:paraId="6784BCF9">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六、附属单位上缴收入：</w:t>
      </w:r>
      <w:r>
        <w:rPr>
          <w:rFonts w:hint="eastAsia" w:ascii="仿宋" w:hAnsi="仿宋" w:eastAsia="仿宋" w:cs="仿宋"/>
          <w:kern w:val="0"/>
          <w:sz w:val="32"/>
          <w:szCs w:val="32"/>
          <w:u w:val="none" w:color="auto"/>
        </w:rPr>
        <w:t>指事业单位取得附属独立核算单位按照有关规定上缴的收入。</w:t>
      </w:r>
    </w:p>
    <w:p w14:paraId="1F04AC56">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七、其他收入：</w:t>
      </w:r>
      <w:r>
        <w:rPr>
          <w:rFonts w:hint="eastAsia" w:ascii="仿宋" w:hAnsi="仿宋" w:eastAsia="仿宋" w:cs="仿宋"/>
          <w:kern w:val="0"/>
          <w:sz w:val="32"/>
          <w:szCs w:val="32"/>
          <w:u w:val="none" w:color="auto"/>
        </w:rPr>
        <w:t>取得的除上述“财政拨款收入”、“上级补助收入”、“事业收入”、“经营收入”、“附属单位上缴收入”等以外的各项收入。</w:t>
      </w:r>
    </w:p>
    <w:p w14:paraId="3F7EFE43">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八、使用非财政拨款结余和专用结余：</w:t>
      </w:r>
      <w:r>
        <w:rPr>
          <w:rFonts w:hint="eastAsia" w:ascii="仿宋" w:hAnsi="仿宋" w:eastAsia="仿宋" w:cs="仿宋"/>
          <w:kern w:val="0"/>
          <w:sz w:val="32"/>
          <w:szCs w:val="32"/>
          <w:u w:val="none" w:color="auto"/>
        </w:rPr>
        <w:t>指事业单位按照预算管理要求使用非财政拨款结余和专用结余弥补当年收支差额的数额。</w:t>
      </w:r>
    </w:p>
    <w:p w14:paraId="6C65ECF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九、年初结转和结余：</w:t>
      </w:r>
      <w:r>
        <w:rPr>
          <w:rFonts w:hint="eastAsia" w:ascii="仿宋" w:hAnsi="仿宋" w:eastAsia="仿宋" w:cs="仿宋"/>
          <w:kern w:val="0"/>
          <w:sz w:val="32"/>
          <w:szCs w:val="32"/>
          <w:u w:val="none" w:color="auto"/>
        </w:rPr>
        <w:t>指单位上年结转本年使用的基本支出结转、项目支出结转和结余、经营结余。</w:t>
      </w:r>
    </w:p>
    <w:p w14:paraId="7313D9F8">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十、结余分配：</w:t>
      </w:r>
      <w:r>
        <w:rPr>
          <w:rFonts w:hint="eastAsia" w:ascii="仿宋" w:hAnsi="仿宋" w:eastAsia="仿宋" w:cs="仿宋"/>
          <w:kern w:val="0"/>
          <w:sz w:val="32"/>
          <w:szCs w:val="32"/>
          <w:u w:val="none" w:color="auto"/>
        </w:rPr>
        <w:t>指事业单位按规定缴纳企业所得税以及从非财政拨款结余或经营结余中提取各类结余的情况。</w:t>
      </w:r>
    </w:p>
    <w:p w14:paraId="183B5EB8">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十一、年末结转和结余资金：</w:t>
      </w:r>
      <w:r>
        <w:rPr>
          <w:rFonts w:hint="eastAsia" w:ascii="仿宋" w:hAnsi="仿宋" w:eastAsia="仿宋" w:cs="仿宋"/>
          <w:kern w:val="0"/>
          <w:sz w:val="32"/>
          <w:szCs w:val="32"/>
          <w:u w:val="none" w:color="auto"/>
        </w:rPr>
        <w:t>指单位结转下年的基本支出结转、项目支出结转和结余、经营结余。</w:t>
      </w:r>
    </w:p>
    <w:p w14:paraId="1C276269">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十二、基本支出：</w:t>
      </w:r>
      <w:r>
        <w:rPr>
          <w:rFonts w:hint="eastAsia" w:ascii="仿宋" w:hAnsi="仿宋" w:eastAsia="仿宋" w:cs="仿宋"/>
          <w:kern w:val="0"/>
          <w:sz w:val="32"/>
          <w:szCs w:val="32"/>
          <w:u w:val="none" w:color="auto"/>
        </w:rPr>
        <w:t>指为保障机构正常运转、完成日常工作任务所发生的支出，包括人员经费和公用经费。</w:t>
      </w:r>
    </w:p>
    <w:p w14:paraId="3309C82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十三、项目支出：</w:t>
      </w:r>
      <w:r>
        <w:rPr>
          <w:rFonts w:hint="eastAsia" w:ascii="仿宋" w:hAnsi="仿宋" w:eastAsia="仿宋" w:cs="仿宋"/>
          <w:kern w:val="0"/>
          <w:sz w:val="32"/>
          <w:szCs w:val="32"/>
          <w:u w:val="none" w:color="auto"/>
        </w:rPr>
        <w:t>指在为完成特定的工作任务和事业发展目标所发生的支出。</w:t>
      </w:r>
    </w:p>
    <w:p w14:paraId="5554709C">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十四、上缴上级支出：</w:t>
      </w:r>
      <w:r>
        <w:rPr>
          <w:rFonts w:hint="eastAsia" w:ascii="仿宋" w:hAnsi="仿宋" w:eastAsia="仿宋" w:cs="仿宋"/>
          <w:kern w:val="0"/>
          <w:sz w:val="32"/>
          <w:szCs w:val="32"/>
          <w:u w:val="none" w:color="auto"/>
        </w:rPr>
        <w:t>指事业单位按照财政部门和主管部门的规定上缴上级单位的支出。</w:t>
      </w:r>
    </w:p>
    <w:p w14:paraId="1746B34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十五、经营支出：</w:t>
      </w:r>
      <w:r>
        <w:rPr>
          <w:rFonts w:hint="eastAsia" w:ascii="仿宋" w:hAnsi="仿宋" w:eastAsia="仿宋" w:cs="仿宋"/>
          <w:kern w:val="0"/>
          <w:sz w:val="32"/>
          <w:szCs w:val="32"/>
          <w:u w:val="none" w:color="auto"/>
        </w:rPr>
        <w:t>指事业单位在专业业务活动及其辅助活动之外开展非独立核算经营活动发生的支出。</w:t>
      </w:r>
    </w:p>
    <w:p w14:paraId="5238EF81">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十六、对附属单位补助支出：</w:t>
      </w:r>
      <w:r>
        <w:rPr>
          <w:rFonts w:hint="eastAsia" w:ascii="仿宋" w:hAnsi="仿宋" w:eastAsia="仿宋" w:cs="仿宋"/>
          <w:kern w:val="0"/>
          <w:sz w:val="32"/>
          <w:szCs w:val="32"/>
          <w:u w:val="none" w:color="auto"/>
        </w:rPr>
        <w:t>指事业单位用财政拨款收入之外的收入对附属单位补助发生的支出。</w:t>
      </w:r>
    </w:p>
    <w:p w14:paraId="7C7FFE54">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十七、“三公”经费：</w:t>
      </w:r>
      <w:r>
        <w:rPr>
          <w:rFonts w:hint="eastAsia" w:ascii="仿宋" w:hAnsi="仿宋" w:eastAsia="仿宋" w:cs="仿宋"/>
          <w:kern w:val="0"/>
          <w:sz w:val="32"/>
          <w:szCs w:val="32"/>
          <w:u w:val="none" w:color="auto"/>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0EAD852E">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十八、机构运行经费：</w:t>
      </w:r>
      <w:r>
        <w:rPr>
          <w:rFonts w:hint="eastAsia" w:ascii="仿宋" w:hAnsi="仿宋" w:eastAsia="仿宋" w:cs="仿宋"/>
          <w:kern w:val="0"/>
          <w:sz w:val="32"/>
          <w:szCs w:val="32"/>
          <w:u w:val="none" w:color="auto"/>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94597C5">
      <w:pPr>
        <w:pStyle w:val="3"/>
        <w:keepNext w:val="0"/>
        <w:keepLines w:val="0"/>
        <w:widowControl/>
        <w:overflowPunct w:val="0"/>
        <w:topLinePunct/>
        <w:spacing w:before="299" w:after="299" w:line="240" w:lineRule="auto"/>
        <w:jc w:val="center"/>
        <w:outlineLvl w:val="0"/>
        <w:rPr>
          <w:rFonts w:hint="eastAsia" w:ascii="方正小标宋_GBK" w:hAnsi="方正小标宋_GBK" w:eastAsia="方正小标宋_GBK" w:cs="方正小标宋_GBK"/>
          <w:b/>
          <w:bCs/>
          <w:kern w:val="0"/>
          <w:sz w:val="44"/>
          <w:szCs w:val="44"/>
          <w:u w:val="none" w:color="auto"/>
        </w:rPr>
      </w:pPr>
      <w:bookmarkStart w:id="22" w:name="_Toc12374"/>
      <w:r>
        <w:rPr>
          <w:rFonts w:hint="eastAsia" w:ascii="方正小标宋_GBK" w:hAnsi="方正小标宋_GBK" w:eastAsia="方正小标宋_GBK" w:cs="方正小标宋_GBK"/>
          <w:kern w:val="0"/>
          <w:sz w:val="44"/>
          <w:szCs w:val="44"/>
          <w:u w:val="none" w:color="auto"/>
        </w:rPr>
        <w:t>第四部分 决算公开联系方式及信息反馈渠道</w:t>
      </w:r>
      <w:bookmarkEnd w:id="22"/>
    </w:p>
    <w:p w14:paraId="114C858C">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本单位决算公开信息反馈和联系方式：</w:t>
      </w:r>
    </w:p>
    <w:p w14:paraId="62F91897">
      <w:pPr>
        <w:widowControl/>
        <w:overflowPunct w:val="0"/>
        <w:topLinePunct/>
        <w:spacing w:before="240" w:after="240"/>
        <w:jc w:val="left"/>
        <w:rPr>
          <w:rFonts w:ascii="Times New Roman" w:hAnsi="Times New Roman" w:eastAsia="Times New Roman" w:cs="Times New Roman"/>
          <w:kern w:val="0"/>
          <w:sz w:val="24"/>
          <w:u w:val="none" w:color="auto"/>
        </w:rPr>
      </w:pPr>
      <w:r>
        <w:rPr>
          <w:rFonts w:hint="eastAsia" w:ascii="仿宋" w:hAnsi="仿宋" w:eastAsia="仿宋" w:cs="仿宋"/>
          <w:kern w:val="0"/>
          <w:sz w:val="32"/>
          <w:szCs w:val="32"/>
          <w:u w:val="none" w:color="auto"/>
        </w:rPr>
        <w:t>联系人：段媛</w:t>
      </w:r>
      <w:r>
        <w:rPr>
          <w:rFonts w:hint="eastAsia" w:ascii="仿宋" w:hAnsi="仿宋" w:eastAsia="仿宋" w:cs="仿宋"/>
          <w:kern w:val="0"/>
          <w:sz w:val="32"/>
          <w:szCs w:val="32"/>
          <w:u w:val="none" w:color="auto"/>
          <w:lang w:val="en-US" w:eastAsia="zh-CN"/>
        </w:rPr>
        <w:t xml:space="preserve"> </w:t>
      </w:r>
      <w:r>
        <w:rPr>
          <w:rFonts w:hint="eastAsia" w:ascii="仿宋" w:hAnsi="仿宋" w:eastAsia="仿宋" w:cs="仿宋"/>
          <w:kern w:val="0"/>
          <w:sz w:val="32"/>
          <w:szCs w:val="32"/>
          <w:u w:val="none" w:color="auto"/>
        </w:rPr>
        <w:t>联系电话：0477-8500059</w:t>
      </w:r>
    </w:p>
    <w:p w14:paraId="4A2F8278">
      <w:pPr>
        <w:widowControl/>
        <w:overflowPunct w:val="0"/>
        <w:topLinePunct/>
        <w:spacing w:before="240" w:after="240"/>
        <w:jc w:val="center"/>
        <w:outlineLvl w:val="0"/>
        <w:rPr>
          <w:rFonts w:ascii="Times New Roman" w:hAnsi="Times New Roman" w:eastAsia="Times New Roman" w:cs="Times New Roman"/>
          <w:kern w:val="0"/>
          <w:sz w:val="24"/>
          <w:u w:val="none" w:color="auto"/>
        </w:rPr>
      </w:pPr>
      <w:bookmarkStart w:id="23" w:name="_Toc25407"/>
      <w:r>
        <w:rPr>
          <w:rFonts w:hint="eastAsia" w:ascii="方正小标宋_GBK" w:hAnsi="方正小标宋_GBK" w:eastAsia="方正小标宋_GBK" w:cs="方正小标宋_GBK"/>
          <w:b/>
          <w:bCs/>
          <w:kern w:val="0"/>
          <w:sz w:val="44"/>
          <w:szCs w:val="44"/>
          <w:u w:val="none" w:color="auto"/>
        </w:rPr>
        <w:t>第五部分 部门（单位）决算表</w:t>
      </w:r>
      <w:bookmarkEnd w:id="23"/>
    </w:p>
    <w:p w14:paraId="44520727">
      <w:pPr>
        <w:widowControl/>
        <w:overflowPunct w:val="0"/>
        <w:topLinePunct/>
        <w:spacing w:before="240" w:after="240"/>
        <w:jc w:val="left"/>
        <w:rPr>
          <w:rFonts w:hint="eastAsia" w:ascii="仿宋" w:hAnsi="仿宋" w:eastAsia="仿宋" w:cs="仿宋"/>
          <w:sz w:val="32"/>
          <w:szCs w:val="32"/>
          <w:u w:val="none" w:color="auto"/>
        </w:rPr>
      </w:pPr>
      <w:r>
        <w:rPr>
          <w:rFonts w:hint="eastAsia" w:ascii="仿宋" w:hAnsi="仿宋" w:eastAsia="仿宋" w:cs="仿宋"/>
          <w:kern w:val="0"/>
          <w:sz w:val="32"/>
          <w:szCs w:val="32"/>
          <w:u w:val="none" w:color="auto"/>
        </w:rPr>
        <w:t>见附件1</w:t>
      </w:r>
      <w:bookmarkEnd w:id="1"/>
    </w:p>
    <w:sectPr>
      <w:footerReference r:id="rId4" w:type="default"/>
      <w:pgSz w:w="11906" w:h="16838"/>
      <w:pgMar w:top="1962" w:right="1474" w:bottom="1848" w:left="1587" w:header="0" w:footer="1049" w:gutter="0"/>
      <w:cols w:space="425" w:num="1"/>
      <w:docGrid w:type="linesAndChars" w:linePitch="592"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C6528186-47D0-4CF1-86E9-D33F697FB43E}"/>
  </w:font>
  <w:font w:name="黑体">
    <w:panose1 w:val="02010609060101010101"/>
    <w:charset w:val="86"/>
    <w:family w:val="auto"/>
    <w:pitch w:val="default"/>
    <w:sig w:usb0="800002BF" w:usb1="38CF7CFA" w:usb2="00000016" w:usb3="00000000" w:csb0="00040001" w:csb1="00000000"/>
    <w:embedRegular r:id="rId2" w:fontKey="{01BDA273-A92F-4B31-8703-88BB242FDB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Noto Sans CJK JP Black">
    <w:altName w:val="Segoe Print"/>
    <w:panose1 w:val="00000000000000000000"/>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3" w:fontKey="{1A5A0608-66A7-4221-9516-68B9A16F19C7}"/>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00004FF" w:usb2="00000000" w:usb3="00000000" w:csb0="2000019F" w:csb1="00000000"/>
  </w:font>
  <w:font w:name="fang_song_gb2312">
    <w:altName w:val="Menk Amglang Tig"/>
    <w:panose1 w:val="00000000000000000000"/>
    <w:charset w:val="00"/>
    <w:family w:val="auto"/>
    <w:pitch w:val="default"/>
    <w:sig w:usb0="00000000" w:usb1="00000000" w:usb2="00000000" w:usb3="00000000" w:csb0="00000000" w:csb1="00000000"/>
    <w:embedRegular r:id="rId4" w:fontKey="{7DF8A7EF-AFD4-4DD7-AF15-8B63605A4E48}"/>
  </w:font>
  <w:font w:name="方正小标宋_GBK">
    <w:altName w:val="Arial Unicode MS"/>
    <w:panose1 w:val="02000000000000000000"/>
    <w:charset w:val="86"/>
    <w:family w:val="auto"/>
    <w:pitch w:val="default"/>
    <w:sig w:usb0="00000000" w:usb1="00000000" w:usb2="00000000" w:usb3="00000000" w:csb0="00040000" w:csb1="00000000"/>
    <w:embedRegular r:id="rId5" w:fontKey="{52F6B49C-E0F9-432E-B396-6C69A0040B38}"/>
  </w:font>
  <w:font w:name="方正大标宋简体">
    <w:panose1 w:val="02000000000000000000"/>
    <w:charset w:val="86"/>
    <w:family w:val="auto"/>
    <w:pitch w:val="default"/>
    <w:sig w:usb0="A00002BF" w:usb1="184F6CFA" w:usb2="00000012" w:usb3="00000000" w:csb0="00040001" w:csb1="00000000"/>
    <w:embedRegular r:id="rId6" w:fontKey="{F4DA6398-26E7-47FF-96F0-6889FB7B8244}"/>
  </w:font>
  <w:font w:name="方正楷体_GB2312">
    <w:panose1 w:val="02000000000000000000"/>
    <w:charset w:val="86"/>
    <w:family w:val="auto"/>
    <w:pitch w:val="default"/>
    <w:sig w:usb0="A00002BF" w:usb1="184F6CFA" w:usb2="00000012" w:usb3="00000000" w:csb0="00040001" w:csb1="00000000"/>
    <w:embedRegular r:id="rId7" w:fontKey="{6590EC43-F463-4BE3-BF31-3CF73D8A7A71}"/>
  </w:font>
  <w:font w:name="方正仿宋_GB2312">
    <w:panose1 w:val="02000000000000000000"/>
    <w:charset w:val="86"/>
    <w:family w:val="auto"/>
    <w:pitch w:val="default"/>
    <w:sig w:usb0="A00002BF" w:usb1="184F6CFA" w:usb2="00000012" w:usb3="00000000" w:csb0="00040001" w:csb1="00000000"/>
    <w:embedRegular r:id="rId8" w:fontKey="{23DECAE1-ED43-4619-993F-DD1E0D1A6A82}"/>
  </w:font>
  <w:font w:name="汉仪旗黑-55简">
    <w:altName w:val="黑体"/>
    <w:panose1 w:val="00020600040101010101"/>
    <w:charset w:val="8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9" w:fontKey="{BD765A6F-0F09-46FE-B940-9668F1267311}"/>
  </w:font>
  <w:font w:name="Menk Amglang Tig">
    <w:panose1 w:val="02000500000000000000"/>
    <w:charset w:val="00"/>
    <w:family w:val="auto"/>
    <w:pitch w:val="default"/>
    <w:sig w:usb0="A000029F" w:usb1="1041E44A" w:usb2="00020012" w:usb3="00000000" w:csb0="00000003"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629C5">
    <w:pPr>
      <w:spacing w:line="471" w:lineRule="auto"/>
      <w:rPr>
        <w:rFonts w:ascii="宋体"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6518F">
    <w:pPr>
      <w:pStyle w:val="12"/>
      <w:spacing w:line="471" w:lineRule="auto"/>
      <w:jc w:val="center"/>
      <w:rPr>
        <w:rFonts w:ascii="宋体" w:eastAsia="宋体"/>
        <w:sz w:val="28"/>
      </w:rPr>
    </w:pP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lang w:val="zh-CN"/>
      </w:rPr>
      <w:t>23</w:t>
    </w:r>
    <w:r>
      <w:rPr>
        <w:rFonts w:ascii="宋体" w:eastAsia="宋体"/>
        <w:sz w:val="28"/>
        <w:lang w:val="zh-CN"/>
      </w:rPr>
      <w:fldChar w:fldCharType="end"/>
    </w:r>
  </w:p>
  <w:p w14:paraId="230DF3AF">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7E324"/>
    <w:multiLevelType w:val="singleLevel"/>
    <w:tmpl w:val="8597E324"/>
    <w:lvl w:ilvl="0" w:tentative="0">
      <w:start w:val="1"/>
      <w:numFmt w:val="decimal"/>
      <w:suff w:val="nothing"/>
      <w:lvlText w:val="%1．"/>
      <w:lvlJc w:val="left"/>
    </w:lvl>
  </w:abstractNum>
  <w:abstractNum w:abstractNumId="1">
    <w:nsid w:val="DDFF308B"/>
    <w:multiLevelType w:val="singleLevel"/>
    <w:tmpl w:val="DDFF308B"/>
    <w:lvl w:ilvl="0" w:tentative="0">
      <w:start w:val="1"/>
      <w:numFmt w:val="chineseCounting"/>
      <w:suff w:val="nothing"/>
      <w:lvlText w:val="（%1）"/>
      <w:lvlJc w:val="left"/>
      <w:rPr>
        <w:rFonts w:hint="eastAsia"/>
      </w:rPr>
    </w:lvl>
  </w:abstractNum>
  <w:abstractNum w:abstractNumId="2">
    <w:nsid w:val="2FA94E5C"/>
    <w:multiLevelType w:val="singleLevel"/>
    <w:tmpl w:val="2FA94E5C"/>
    <w:lvl w:ilvl="0" w:tentative="0">
      <w:start w:val="1"/>
      <w:numFmt w:val="chineseCounting"/>
      <w:suff w:val="nothing"/>
      <w:lvlText w:val="（%1）"/>
      <w:lvlJc w:val="left"/>
      <w:rPr>
        <w:rFonts w:hint="eastAsia"/>
      </w:rPr>
    </w:lvl>
  </w:abstractNum>
  <w:abstractNum w:abstractNumId="3">
    <w:nsid w:val="4B11D106"/>
    <w:multiLevelType w:val="singleLevel"/>
    <w:tmpl w:val="4B11D106"/>
    <w:lvl w:ilvl="0" w:tentative="0">
      <w:start w:val="1"/>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308"/>
  <w:drawingGridVerticalSpacing w:val="29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mMGEyOWUzZDNiOTljMjI2Njc5ZGY5MDZkYzI0MTM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C5468"/>
    <w:rsid w:val="004D7065"/>
    <w:rsid w:val="004E0B6C"/>
    <w:rsid w:val="005011E1"/>
    <w:rsid w:val="00505A51"/>
    <w:rsid w:val="0051384E"/>
    <w:rsid w:val="00521603"/>
    <w:rsid w:val="00536012"/>
    <w:rsid w:val="0054657E"/>
    <w:rsid w:val="0059054F"/>
    <w:rsid w:val="00596608"/>
    <w:rsid w:val="005B4139"/>
    <w:rsid w:val="005C13AB"/>
    <w:rsid w:val="00667493"/>
    <w:rsid w:val="006A185F"/>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013CDC"/>
    <w:rsid w:val="01050F22"/>
    <w:rsid w:val="02F27FB9"/>
    <w:rsid w:val="032B09E8"/>
    <w:rsid w:val="03351867"/>
    <w:rsid w:val="03767EB5"/>
    <w:rsid w:val="0384267A"/>
    <w:rsid w:val="03B15391"/>
    <w:rsid w:val="05031C1C"/>
    <w:rsid w:val="052D0A47"/>
    <w:rsid w:val="05900713"/>
    <w:rsid w:val="05CF2FDE"/>
    <w:rsid w:val="05EE467B"/>
    <w:rsid w:val="06CE1DB6"/>
    <w:rsid w:val="074B42FE"/>
    <w:rsid w:val="07BB67DE"/>
    <w:rsid w:val="08580653"/>
    <w:rsid w:val="08762705"/>
    <w:rsid w:val="0888779C"/>
    <w:rsid w:val="08B0518A"/>
    <w:rsid w:val="08E617D4"/>
    <w:rsid w:val="08F8223F"/>
    <w:rsid w:val="09B010D3"/>
    <w:rsid w:val="09B63701"/>
    <w:rsid w:val="09E00ADD"/>
    <w:rsid w:val="0AAA603F"/>
    <w:rsid w:val="0AAE4FA1"/>
    <w:rsid w:val="0AD32EDA"/>
    <w:rsid w:val="0CD82041"/>
    <w:rsid w:val="0CDD0FA5"/>
    <w:rsid w:val="0CF307C8"/>
    <w:rsid w:val="0DB937C0"/>
    <w:rsid w:val="0DBD1034"/>
    <w:rsid w:val="0DE941D3"/>
    <w:rsid w:val="0DF32FAB"/>
    <w:rsid w:val="0E796AAB"/>
    <w:rsid w:val="0F3550C8"/>
    <w:rsid w:val="103D0568"/>
    <w:rsid w:val="10606F0E"/>
    <w:rsid w:val="111034C9"/>
    <w:rsid w:val="118D2ADD"/>
    <w:rsid w:val="124F43F5"/>
    <w:rsid w:val="12E56E05"/>
    <w:rsid w:val="15291332"/>
    <w:rsid w:val="16273291"/>
    <w:rsid w:val="163C4337"/>
    <w:rsid w:val="169F0A69"/>
    <w:rsid w:val="16A03EAE"/>
    <w:rsid w:val="16AE43E9"/>
    <w:rsid w:val="17C35E31"/>
    <w:rsid w:val="191B532F"/>
    <w:rsid w:val="19213B4A"/>
    <w:rsid w:val="199D739F"/>
    <w:rsid w:val="1B304996"/>
    <w:rsid w:val="1BD14E8A"/>
    <w:rsid w:val="1BF328A2"/>
    <w:rsid w:val="1C7C4725"/>
    <w:rsid w:val="1CF00880"/>
    <w:rsid w:val="1D3A267F"/>
    <w:rsid w:val="1D886D0B"/>
    <w:rsid w:val="1DC612B3"/>
    <w:rsid w:val="1EBB6C6C"/>
    <w:rsid w:val="1EC1113F"/>
    <w:rsid w:val="1EEB1F35"/>
    <w:rsid w:val="1F550E6F"/>
    <w:rsid w:val="1F677F1D"/>
    <w:rsid w:val="1F6D440A"/>
    <w:rsid w:val="1FA45952"/>
    <w:rsid w:val="200A2D12"/>
    <w:rsid w:val="204D296F"/>
    <w:rsid w:val="207B2B57"/>
    <w:rsid w:val="2131282D"/>
    <w:rsid w:val="21336A03"/>
    <w:rsid w:val="220D313B"/>
    <w:rsid w:val="225464D8"/>
    <w:rsid w:val="2277734E"/>
    <w:rsid w:val="22A5210D"/>
    <w:rsid w:val="22AC29A7"/>
    <w:rsid w:val="22D622C7"/>
    <w:rsid w:val="23690525"/>
    <w:rsid w:val="249B7324"/>
    <w:rsid w:val="24CA5ED0"/>
    <w:rsid w:val="259B3353"/>
    <w:rsid w:val="25A37F21"/>
    <w:rsid w:val="25AB17E9"/>
    <w:rsid w:val="26887D7C"/>
    <w:rsid w:val="269009DE"/>
    <w:rsid w:val="26D77747"/>
    <w:rsid w:val="27A02EA3"/>
    <w:rsid w:val="27BC1299"/>
    <w:rsid w:val="28E150F3"/>
    <w:rsid w:val="29350EED"/>
    <w:rsid w:val="29B665AC"/>
    <w:rsid w:val="29E928DF"/>
    <w:rsid w:val="2A6F6324"/>
    <w:rsid w:val="2BA44FCF"/>
    <w:rsid w:val="2BB840D8"/>
    <w:rsid w:val="2BBA09D7"/>
    <w:rsid w:val="2C210A56"/>
    <w:rsid w:val="2C2767C2"/>
    <w:rsid w:val="2C5874FF"/>
    <w:rsid w:val="2C710E04"/>
    <w:rsid w:val="2CA927FA"/>
    <w:rsid w:val="2CAB45AB"/>
    <w:rsid w:val="2DA336ED"/>
    <w:rsid w:val="2DCC49F2"/>
    <w:rsid w:val="2DD934D4"/>
    <w:rsid w:val="2E48103C"/>
    <w:rsid w:val="2FD7142C"/>
    <w:rsid w:val="306B04F2"/>
    <w:rsid w:val="30803872"/>
    <w:rsid w:val="30AA200F"/>
    <w:rsid w:val="31363AE0"/>
    <w:rsid w:val="318254C8"/>
    <w:rsid w:val="323D5EBE"/>
    <w:rsid w:val="32821347"/>
    <w:rsid w:val="333948D8"/>
    <w:rsid w:val="344828F8"/>
    <w:rsid w:val="345631A1"/>
    <w:rsid w:val="356B2D42"/>
    <w:rsid w:val="35894EFE"/>
    <w:rsid w:val="36141BBC"/>
    <w:rsid w:val="36237179"/>
    <w:rsid w:val="36A24542"/>
    <w:rsid w:val="36AA33F6"/>
    <w:rsid w:val="3784633D"/>
    <w:rsid w:val="37EB016A"/>
    <w:rsid w:val="37FD9615"/>
    <w:rsid w:val="381270FD"/>
    <w:rsid w:val="383A66C0"/>
    <w:rsid w:val="39CE1D8F"/>
    <w:rsid w:val="3C461E13"/>
    <w:rsid w:val="3C862A99"/>
    <w:rsid w:val="3D98669F"/>
    <w:rsid w:val="3E343B0B"/>
    <w:rsid w:val="3E778AD7"/>
    <w:rsid w:val="3F3643C1"/>
    <w:rsid w:val="3F5D7688"/>
    <w:rsid w:val="3FB3156E"/>
    <w:rsid w:val="3FD11DF9"/>
    <w:rsid w:val="407231D7"/>
    <w:rsid w:val="40E6526D"/>
    <w:rsid w:val="41431664"/>
    <w:rsid w:val="417D62D7"/>
    <w:rsid w:val="41B47B85"/>
    <w:rsid w:val="41F93484"/>
    <w:rsid w:val="4202058A"/>
    <w:rsid w:val="423170C2"/>
    <w:rsid w:val="424A47ED"/>
    <w:rsid w:val="424B3CDF"/>
    <w:rsid w:val="426B4382"/>
    <w:rsid w:val="428C235F"/>
    <w:rsid w:val="43095949"/>
    <w:rsid w:val="432B3B11"/>
    <w:rsid w:val="43BD6930"/>
    <w:rsid w:val="43E97C54"/>
    <w:rsid w:val="44A92F3F"/>
    <w:rsid w:val="453749EF"/>
    <w:rsid w:val="45432453"/>
    <w:rsid w:val="45BD3146"/>
    <w:rsid w:val="46250A0C"/>
    <w:rsid w:val="46FE1B44"/>
    <w:rsid w:val="476130C7"/>
    <w:rsid w:val="486A50DB"/>
    <w:rsid w:val="488F00EE"/>
    <w:rsid w:val="48AD7515"/>
    <w:rsid w:val="4A2F038B"/>
    <w:rsid w:val="4A331C29"/>
    <w:rsid w:val="4AB80EF1"/>
    <w:rsid w:val="4AF173EE"/>
    <w:rsid w:val="4BC4181D"/>
    <w:rsid w:val="4CD243C2"/>
    <w:rsid w:val="4CFE5CB2"/>
    <w:rsid w:val="4D242234"/>
    <w:rsid w:val="4D31441A"/>
    <w:rsid w:val="4D355F0D"/>
    <w:rsid w:val="4D3857A8"/>
    <w:rsid w:val="4DEC8E1A"/>
    <w:rsid w:val="4E090B8D"/>
    <w:rsid w:val="4EC47DD1"/>
    <w:rsid w:val="4ED432AF"/>
    <w:rsid w:val="4EF65EE6"/>
    <w:rsid w:val="502344EE"/>
    <w:rsid w:val="504A1A7A"/>
    <w:rsid w:val="50964CC0"/>
    <w:rsid w:val="51074F79"/>
    <w:rsid w:val="5139564B"/>
    <w:rsid w:val="52B2697B"/>
    <w:rsid w:val="53226F6B"/>
    <w:rsid w:val="53C040E4"/>
    <w:rsid w:val="55985036"/>
    <w:rsid w:val="56101070"/>
    <w:rsid w:val="576869E1"/>
    <w:rsid w:val="577B590C"/>
    <w:rsid w:val="58214533"/>
    <w:rsid w:val="58694A68"/>
    <w:rsid w:val="58975164"/>
    <w:rsid w:val="59975605"/>
    <w:rsid w:val="59D6437F"/>
    <w:rsid w:val="5A0A04CC"/>
    <w:rsid w:val="5A9B2ED2"/>
    <w:rsid w:val="5AE15F27"/>
    <w:rsid w:val="5BA02E96"/>
    <w:rsid w:val="5BA069F2"/>
    <w:rsid w:val="5BFE5E0F"/>
    <w:rsid w:val="5C3409C8"/>
    <w:rsid w:val="5C9E3955"/>
    <w:rsid w:val="5CDB2C89"/>
    <w:rsid w:val="5EA81093"/>
    <w:rsid w:val="5ED75BF1"/>
    <w:rsid w:val="5F2E2567"/>
    <w:rsid w:val="60723745"/>
    <w:rsid w:val="60D86C2E"/>
    <w:rsid w:val="60E11F1C"/>
    <w:rsid w:val="61291B64"/>
    <w:rsid w:val="61AD3C17"/>
    <w:rsid w:val="62326812"/>
    <w:rsid w:val="62B42838"/>
    <w:rsid w:val="63116355"/>
    <w:rsid w:val="642F3009"/>
    <w:rsid w:val="647C37ED"/>
    <w:rsid w:val="649B244D"/>
    <w:rsid w:val="65377536"/>
    <w:rsid w:val="655F4AD1"/>
    <w:rsid w:val="670B6E77"/>
    <w:rsid w:val="67BF13CD"/>
    <w:rsid w:val="67FC1454"/>
    <w:rsid w:val="68805204"/>
    <w:rsid w:val="688B086D"/>
    <w:rsid w:val="692F7608"/>
    <w:rsid w:val="6A250929"/>
    <w:rsid w:val="6A902328"/>
    <w:rsid w:val="6AD77F57"/>
    <w:rsid w:val="6B4F3F91"/>
    <w:rsid w:val="6B9C304C"/>
    <w:rsid w:val="6C845EBC"/>
    <w:rsid w:val="6D8C327A"/>
    <w:rsid w:val="6EF530A1"/>
    <w:rsid w:val="6F35524C"/>
    <w:rsid w:val="6FF375E1"/>
    <w:rsid w:val="700C41FF"/>
    <w:rsid w:val="70B84386"/>
    <w:rsid w:val="70DD45BB"/>
    <w:rsid w:val="71F31B1A"/>
    <w:rsid w:val="72DD00D4"/>
    <w:rsid w:val="736D6C6F"/>
    <w:rsid w:val="742970E4"/>
    <w:rsid w:val="74A71788"/>
    <w:rsid w:val="74D53759"/>
    <w:rsid w:val="74E53270"/>
    <w:rsid w:val="74FC4E2C"/>
    <w:rsid w:val="755F4938"/>
    <w:rsid w:val="75D51ED9"/>
    <w:rsid w:val="76854FB1"/>
    <w:rsid w:val="76BE1FCB"/>
    <w:rsid w:val="770C71DA"/>
    <w:rsid w:val="77DE0B76"/>
    <w:rsid w:val="77F370A3"/>
    <w:rsid w:val="78034139"/>
    <w:rsid w:val="783FBC5E"/>
    <w:rsid w:val="789E20B4"/>
    <w:rsid w:val="78DE59AA"/>
    <w:rsid w:val="791665C1"/>
    <w:rsid w:val="79D7762B"/>
    <w:rsid w:val="7AB931D5"/>
    <w:rsid w:val="7B81337E"/>
    <w:rsid w:val="7BB120FE"/>
    <w:rsid w:val="7BBC11CF"/>
    <w:rsid w:val="7C200750"/>
    <w:rsid w:val="7CEB5564"/>
    <w:rsid w:val="7D0050EB"/>
    <w:rsid w:val="7D513B99"/>
    <w:rsid w:val="7DDEB203"/>
    <w:rsid w:val="7F1FCD11"/>
    <w:rsid w:val="7F4A4D43"/>
    <w:rsid w:val="7F6106E9"/>
    <w:rsid w:val="7F840255"/>
    <w:rsid w:val="7FEA3E31"/>
    <w:rsid w:val="7FEB2083"/>
    <w:rsid w:val="7FF052CB"/>
    <w:rsid w:val="7FFFA47A"/>
    <w:rsid w:val="97FF5679"/>
    <w:rsid w:val="BBF387BF"/>
    <w:rsid w:val="BFF96D48"/>
    <w:rsid w:val="E7FF7EFA"/>
    <w:rsid w:val="F8ADE01F"/>
    <w:rsid w:val="FA13BE59"/>
    <w:rsid w:val="FD7FA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99"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Times New Roman" w:hAnsi="Times New Roman" w:eastAsia="仿宋" w:cs="Times New Roman"/>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line="240" w:lineRule="auto"/>
      <w:jc w:val="both"/>
      <w:outlineLvl w:val="0"/>
    </w:pPr>
    <w:rPr>
      <w:rFonts w:ascii="Times New Roman" w:hAnsi="Times New Roman" w:eastAsia="黑体" w:cs="Times New Roman"/>
      <w:kern w:val="2"/>
      <w:sz w:val="32"/>
      <w:szCs w:val="32"/>
    </w:rPr>
  </w:style>
  <w:style w:type="paragraph" w:styleId="3">
    <w:name w:val="heading 2"/>
    <w:qFormat/>
    <w:uiPriority w:val="0"/>
    <w:pPr>
      <w:keepNext w:val="0"/>
      <w:keepLines w:val="0"/>
      <w:widowControl w:val="0"/>
      <w:overflowPunct w:val="0"/>
      <w:topLinePunct/>
      <w:spacing w:line="240" w:lineRule="auto"/>
      <w:jc w:val="both"/>
      <w:outlineLvl w:val="1"/>
    </w:pPr>
    <w:rPr>
      <w:rFonts w:ascii="Times New Roman" w:hAnsi="Arial" w:eastAsia="楷体" w:cs="Times New Roman"/>
      <w:kern w:val="2"/>
      <w:sz w:val="32"/>
      <w:szCs w:val="32"/>
    </w:rPr>
  </w:style>
  <w:style w:type="paragraph" w:styleId="4">
    <w:name w:val="heading 3"/>
    <w:link w:val="30"/>
    <w:qFormat/>
    <w:uiPriority w:val="0"/>
    <w:pPr>
      <w:keepNext w:val="0"/>
      <w:keepLines w:val="0"/>
      <w:widowControl w:val="0"/>
      <w:overflowPunct w:val="0"/>
      <w:topLinePunct/>
      <w:spacing w:line="240" w:lineRule="auto"/>
      <w:jc w:val="both"/>
      <w:outlineLvl w:val="2"/>
    </w:pPr>
    <w:rPr>
      <w:rFonts w:ascii="Times New Roman" w:hAnsi="Times New Roman" w:eastAsia="仿宋" w:cs="Times New Roman"/>
      <w:kern w:val="2"/>
      <w:sz w:val="32"/>
      <w:szCs w:val="32"/>
    </w:rPr>
  </w:style>
  <w:style w:type="paragraph" w:styleId="5">
    <w:name w:val="heading 4"/>
    <w:link w:val="25"/>
    <w:qFormat/>
    <w:uiPriority w:val="0"/>
    <w:pPr>
      <w:keepNext w:val="0"/>
      <w:keepLines w:val="0"/>
      <w:widowControl w:val="0"/>
      <w:overflowPunct w:val="0"/>
      <w:topLinePunct/>
      <w:spacing w:line="240" w:lineRule="auto"/>
      <w:jc w:val="both"/>
      <w:outlineLvl w:val="3"/>
    </w:pPr>
    <w:rPr>
      <w:rFonts w:ascii="Times New Roman" w:hAnsi="Cambria" w:eastAsia="仿宋" w:cs="Times New Roman"/>
      <w:kern w:val="2"/>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Normal Indent"/>
    <w:basedOn w:val="1"/>
    <w:next w:val="1"/>
    <w:unhideWhenUsed/>
    <w:qFormat/>
    <w:uiPriority w:val="99"/>
    <w:pPr>
      <w:ind w:firstLine="420"/>
    </w:p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8"/>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Subtitle"/>
    <w:next w:val="1"/>
    <w:qFormat/>
    <w:uiPriority w:val="0"/>
    <w:pPr>
      <w:wordWrap w:val="0"/>
      <w:spacing w:after="60"/>
      <w:ind w:left="1024"/>
      <w:jc w:val="center"/>
    </w:pPr>
    <w:rPr>
      <w:rFonts w:ascii="宋体" w:hAnsi="宋体" w:eastAsia="Times New Roman" w:cs="Times New Roman"/>
      <w:kern w:val="0"/>
      <w:sz w:val="20"/>
      <w:szCs w:val="20"/>
      <w:lang w:val="en-US" w:eastAsia="zh-CN" w:bidi="ar-SA"/>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3">
    <w:name w:val="page number"/>
    <w:basedOn w:val="22"/>
    <w:qFormat/>
    <w:uiPriority w:val="0"/>
  </w:style>
  <w:style w:type="character" w:styleId="24">
    <w:name w:val="Hyperlink"/>
    <w:basedOn w:val="22"/>
    <w:qFormat/>
    <w:uiPriority w:val="0"/>
    <w:rPr>
      <w:color w:val="0000FF"/>
      <w:u w:val="single"/>
    </w:rPr>
  </w:style>
  <w:style w:type="character" w:customStyle="1" w:styleId="25">
    <w:name w:val="标题 4 字符"/>
    <w:basedOn w:val="22"/>
    <w:link w:val="5"/>
    <w:qFormat/>
    <w:uiPriority w:val="0"/>
    <w:rPr>
      <w:rFonts w:ascii="Times New Roman" w:hAnsi="Cambria" w:eastAsia="仿宋" w:cs="Times New Roman"/>
      <w:kern w:val="2"/>
      <w:sz w:val="32"/>
      <w:szCs w:val="32"/>
    </w:rPr>
  </w:style>
  <w:style w:type="paragraph" w:styleId="26">
    <w:name w:val="No Spacing"/>
    <w:link w:val="27"/>
    <w:qFormat/>
    <w:uiPriority w:val="0"/>
    <w:pPr>
      <w:ind w:firstLine="200" w:firstLineChars="200"/>
    </w:pPr>
    <w:rPr>
      <w:rFonts w:ascii="Times New Roman" w:hAnsi="Times New Roman" w:eastAsia="仿宋" w:cs="Times New Roman"/>
      <w:sz w:val="30"/>
      <w:szCs w:val="22"/>
      <w:lang w:val="en-US" w:eastAsia="zh-CN" w:bidi="ar-SA"/>
    </w:rPr>
  </w:style>
  <w:style w:type="character" w:customStyle="1" w:styleId="27">
    <w:name w:val="无间隔 字符"/>
    <w:link w:val="26"/>
    <w:qFormat/>
    <w:locked/>
    <w:uiPriority w:val="0"/>
    <w:rPr>
      <w:rFonts w:eastAsia="仿宋"/>
      <w:sz w:val="30"/>
      <w:szCs w:val="22"/>
      <w:lang w:bidi="ar-SA"/>
    </w:rPr>
  </w:style>
  <w:style w:type="character" w:customStyle="1" w:styleId="28">
    <w:name w:val="页脚 字符"/>
    <w:basedOn w:val="22"/>
    <w:link w:val="12"/>
    <w:qFormat/>
    <w:uiPriority w:val="0"/>
    <w:rPr>
      <w:kern w:val="2"/>
      <w:sz w:val="18"/>
      <w:szCs w:val="18"/>
    </w:rPr>
  </w:style>
  <w:style w:type="paragraph" w:styleId="29">
    <w:name w:val="List Paragraph"/>
    <w:basedOn w:val="1"/>
    <w:qFormat/>
    <w:uiPriority w:val="0"/>
    <w:pPr>
      <w:ind w:firstLine="420" w:firstLineChars="200"/>
    </w:pPr>
  </w:style>
  <w:style w:type="character" w:customStyle="1" w:styleId="30">
    <w:name w:val="标题 3 字符"/>
    <w:basedOn w:val="22"/>
    <w:link w:val="4"/>
    <w:qFormat/>
    <w:uiPriority w:val="0"/>
    <w:rPr>
      <w:rFonts w:ascii="Times New Roman" w:eastAsia="仿宋" w:cs="Times New Roman"/>
      <w:kern w:val="2"/>
      <w:sz w:val="32"/>
      <w:szCs w:val="32"/>
    </w:rPr>
  </w:style>
  <w:style w:type="paragraph" w:customStyle="1" w:styleId="31">
    <w:name w:val="p0"/>
    <w:basedOn w:val="1"/>
    <w:qFormat/>
    <w:uiPriority w:val="0"/>
    <w:pPr>
      <w:spacing w:before="0" w:beforeAutospacing="0" w:after="0" w:afterAutospacing="0"/>
      <w:ind w:left="0" w:right="0"/>
      <w:jc w:val="left"/>
    </w:pPr>
    <w:rPr>
      <w:rFonts w:hint="default" w:ascii="Times New Roman" w:hAnsi="Times New Roman" w:eastAsia="宋体" w:cs="Times New Roman"/>
      <w:kern w:val="0"/>
      <w:sz w:val="20"/>
      <w:szCs w:val="20"/>
      <w:lang w:val="en-US" w:eastAsia="zh-CN" w:bidi="ar"/>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500" b="0" i="0" u="none" strike="noStrike" kern="1200" spc="0" baseline="0">
                <a:ln w="0" cmpd="sng">
                  <a:noFill/>
                  <a:prstDash val="solid"/>
                </a:ln>
                <a:solidFill>
                  <a:srgbClr val="903A65"/>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en-US" altLang="zh-CN"/>
              <a:t>2023</a:t>
            </a:r>
            <a:r>
              <a:rPr altLang="en-US"/>
              <a:t>年度部门收入决算情况</a:t>
            </a:r>
            <a:endParaRPr lang="en-US" altLang="zh-CN"/>
          </a:p>
        </c:rich>
      </c:tx>
      <c:layout/>
      <c:overlay val="0"/>
      <c:spPr>
        <a:noFill/>
        <a:ln>
          <a:noFill/>
        </a:ln>
        <a:effectLst/>
      </c:spPr>
    </c:title>
    <c:autoTitleDeleted val="0"/>
    <c:plotArea>
      <c:layout>
        <c:manualLayout>
          <c:layoutTarget val="inner"/>
          <c:xMode val="edge"/>
          <c:yMode val="edge"/>
          <c:x val="0.103161745492553"/>
          <c:y val="0.269018743109151"/>
          <c:w val="0.802900444212177"/>
          <c:h val="0.631841234840132"/>
        </c:manualLayout>
      </c:layout>
      <c:pieChart>
        <c:varyColors val="1"/>
        <c:ser>
          <c:idx val="0"/>
          <c:order val="0"/>
          <c:tx>
            <c:strRef>
              <c:f>Sheet1!$A$1</c:f>
              <c:strCache>
                <c:ptCount val="1"/>
                <c:pt idx="0">
                  <c:v> </c:v>
                </c:pt>
              </c:strCache>
            </c:strRef>
          </c:tx>
          <c:spPr>
            <a:solidFill>
              <a:srgbClr val="F5CE9F"/>
            </a:solidFill>
            <a:effectLst/>
          </c:spPr>
          <c:explosion val="0"/>
          <c:dPt>
            <c:idx val="0"/>
            <c:bubble3D val="0"/>
            <c:spPr>
              <a:solidFill>
                <a:srgbClr val="903A65"/>
              </a:solidFill>
              <a:ln>
                <a:noFill/>
              </a:ln>
              <a:effectLst/>
            </c:spPr>
          </c:dPt>
          <c:dPt>
            <c:idx val="1"/>
            <c:bubble3D val="0"/>
            <c:spPr>
              <a:solidFill>
                <a:srgbClr val="F5CE9F"/>
              </a:solidFill>
              <a:ln>
                <a:noFill/>
              </a:ln>
              <a:effectLst/>
            </c:spPr>
          </c:dPt>
          <c:dPt>
            <c:idx val="2"/>
            <c:bubble3D val="0"/>
            <c:spPr>
              <a:solidFill>
                <a:srgbClr val="ED466F"/>
              </a:solidFill>
              <a:ln>
                <a:noFill/>
              </a:ln>
              <a:effectLst/>
            </c:spPr>
          </c:dPt>
          <c:dPt>
            <c:idx val="3"/>
            <c:bubble3D val="0"/>
            <c:spPr>
              <a:solidFill>
                <a:srgbClr val="F5CE9F"/>
              </a:solidFill>
              <a:ln>
                <a:noFill/>
              </a:ln>
              <a:effectLst/>
            </c:spPr>
          </c:dPt>
          <c:dLbls>
            <c:dLbl>
              <c:idx val="0"/>
              <c:layout>
                <c:manualLayout>
                  <c:x val="-6.00938887367901e-7"/>
                  <c:y val="-0.26719382842401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en-US" altLang="zh-CN"/>
                      <a:t>1747.45</a:t>
                    </a:r>
                    <a:r>
                      <a:rPr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193887412418459"/>
                      <c:h val="0.264555886102847"/>
                    </c:manualLayout>
                  </c15:layout>
                </c:ext>
              </c:extLst>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1747.59</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cap="none" spc="0" normalizeH="0" baseline="0">
              <a:solidFill>
                <a:schemeClr val="tx1">
                  <a:lumMod val="50000"/>
                  <a:lumOff val="50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solidFill>
      <a:srgbClr val="FDFFFF"/>
    </a:solidFill>
    <a:ln w="12700" cap="flat" cmpd="sng" algn="ctr">
      <a:noFill/>
      <a:round/>
    </a:ln>
    <a:effectLst/>
  </c:spPr>
  <c:txPr>
    <a:bodyPr/>
    <a:lstStyle/>
    <a:p>
      <a:pPr>
        <a:defRPr lang="zh-CN">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500" b="0" i="0" u="none" strike="noStrike" kern="1200" spc="0" baseline="0">
                <a:ln w="0" cmpd="sng">
                  <a:noFill/>
                  <a:prstDash val="solid"/>
                </a:ln>
                <a:solidFill>
                  <a:srgbClr val="903A65"/>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en-US" altLang="zh-CN"/>
              <a:t>2023</a:t>
            </a:r>
            <a:r>
              <a:rPr altLang="en-US"/>
              <a:t>年度部门支出决算情况</a:t>
            </a:r>
            <a:endParaRPr lang="en-US" altLang="zh-CN"/>
          </a:p>
        </c:rich>
      </c:tx>
      <c:layout/>
      <c:overlay val="0"/>
      <c:spPr>
        <a:noFill/>
        <a:ln>
          <a:noFill/>
        </a:ln>
        <a:effectLst/>
      </c:spPr>
    </c:title>
    <c:autoTitleDeleted val="0"/>
    <c:plotArea>
      <c:layout>
        <c:manualLayout>
          <c:layoutTarget val="inner"/>
          <c:xMode val="edge"/>
          <c:yMode val="edge"/>
          <c:x val="0.103161745492553"/>
          <c:y val="0.269018743109151"/>
          <c:w val="0.802900444212177"/>
          <c:h val="0.631841234840132"/>
        </c:manualLayout>
      </c:layout>
      <c:pieChart>
        <c:varyColors val="1"/>
        <c:ser>
          <c:idx val="0"/>
          <c:order val="0"/>
          <c:tx>
            <c:strRef>
              <c:f>Sheet1!$B$1</c:f>
              <c:strCache>
                <c:ptCount val="1"/>
                <c:pt idx="0">
                  <c:v>2023年度部门支出决算情况</c:v>
                </c:pt>
              </c:strCache>
            </c:strRef>
          </c:tx>
          <c:spPr>
            <a:solidFill>
              <a:srgbClr val="F5CE9F"/>
            </a:solidFill>
            <a:effectLst/>
          </c:spPr>
          <c:explosion val="0"/>
          <c:dPt>
            <c:idx val="0"/>
            <c:bubble3D val="0"/>
            <c:spPr>
              <a:solidFill>
                <a:srgbClr val="903A65"/>
              </a:solidFill>
              <a:ln>
                <a:noFill/>
              </a:ln>
              <a:effectLst/>
            </c:spPr>
          </c:dPt>
          <c:dPt>
            <c:idx val="1"/>
            <c:bubble3D val="0"/>
            <c:spPr>
              <a:solidFill>
                <a:srgbClr val="F5CE9F"/>
              </a:solidFill>
              <a:ln>
                <a:noFill/>
              </a:ln>
              <a:effectLst/>
            </c:spPr>
          </c:dPt>
          <c:dLbls>
            <c:dLbl>
              <c:idx val="0"/>
              <c:layout>
                <c:manualLayout>
                  <c:x val="-0.0899050110789682"/>
                  <c:y val="-0.199482601052118"/>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1,553.66万元 </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37427778746227"/>
                  <c:y val="0.174620730502881"/>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193.79 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03527422082629"/>
                      <c:h val="0.118997025074373"/>
                    </c:manualLayout>
                  </c15:layout>
                </c:ext>
              </c:extLst>
            </c:dLbl>
            <c:numFmt formatCode="#,##0.00_);[Red]\(#,##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项目支出</c:v>
                </c:pt>
                <c:pt idx="1">
                  <c:v>基本支出</c:v>
                </c:pt>
              </c:strCache>
            </c:strRef>
          </c:cat>
          <c:val>
            <c:numRef>
              <c:f>Sheet1!$B$2:$B$3</c:f>
              <c:numCache>
                <c:formatCode>General</c:formatCode>
                <c:ptCount val="2"/>
                <c:pt idx="0">
                  <c:v>1553.66</c:v>
                </c:pt>
                <c:pt idx="1">
                  <c:v>193.79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cap="none" spc="0" normalizeH="0" baseline="0">
              <a:solidFill>
                <a:schemeClr val="tx1">
                  <a:lumMod val="50000"/>
                  <a:lumOff val="50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solidFill>
      <a:srgbClr val="FDFFFF"/>
    </a:solidFill>
    <a:ln w="12700" cap="flat" cmpd="sng" algn="ctr">
      <a:noFill/>
      <a:round/>
    </a:ln>
    <a:effectLst/>
  </c:spPr>
  <c:txPr>
    <a:bodyPr/>
    <a:lstStyle/>
    <a:p>
      <a:pPr>
        <a:defRPr lang="zh-CN">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45</Pages>
  <Words>16243</Words>
  <Characters>17904</Characters>
  <Lines>1</Lines>
  <Paragraphs>1</Paragraphs>
  <TotalTime>8</TotalTime>
  <ScaleCrop>false</ScaleCrop>
  <LinksUpToDate>false</LinksUpToDate>
  <CharactersWithSpaces>18042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2022-03-23T20:40:00Z</dcterms:created>
  <dc:creator>Administrator</dc:creator>
  <cp:lastModifiedBy>⑨</cp:lastModifiedBy>
  <cp:lastPrinted>2021-04-16T08:45:00Z</cp:lastPrinted>
  <dcterms:modified xsi:type="dcterms:W3CDTF">2024-09-26T05:03:07Z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EEB73308D9124502896ED9FA07FB5025_12</vt:lpwstr>
  </property>
</Properties>
</file>