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2079"/>
        <w:spacing w:before="140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7"/>
        </w:rPr>
        <w:t>2023年度内蒙古自治区</w:t>
      </w:r>
    </w:p>
    <w:p>
      <w:pPr>
        <w:pStyle w:val="BodyText"/>
        <w:spacing w:line="270" w:lineRule="auto"/>
        <w:rPr/>
      </w:pPr>
      <w:r/>
    </w:p>
    <w:p>
      <w:pPr>
        <w:ind w:left="1204"/>
        <w:spacing w:before="140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8"/>
        </w:rPr>
        <w:t>鄂尔多斯市总工会职工服务中心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spacing w:before="101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单位名称：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内蒙古自治区鄂尔多斯市总工会职工服务</w:t>
      </w:r>
      <w:r>
        <w:rPr>
          <w:rFonts w:ascii="FangSong" w:hAnsi="FangSong" w:eastAsia="FangSong" w:cs="FangSong"/>
          <w:sz w:val="31"/>
          <w:szCs w:val="31"/>
          <w:spacing w:val="5"/>
        </w:rPr>
        <w:t>中心</w:t>
      </w:r>
    </w:p>
    <w:p>
      <w:pPr>
        <w:ind w:left="920" w:right="5119" w:firstLine="3"/>
        <w:spacing w:before="24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单位负责人：曹美霞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财务负责人：王振东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编制人：马丽</w:t>
      </w:r>
    </w:p>
    <w:p>
      <w:pPr>
        <w:ind w:left="918"/>
        <w:spacing w:before="53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报送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日期：2024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年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9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月</w:t>
      </w:r>
    </w:p>
    <w:p>
      <w:pPr>
        <w:spacing w:line="228" w:lineRule="auto"/>
        <w:sectPr>
          <w:footerReference w:type="default" r:id="rId1"/>
          <w:pgSz w:w="11906" w:h="16839"/>
          <w:pgMar w:top="1431" w:right="1224" w:bottom="898" w:left="1785" w:header="0" w:footer="71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837"/>
        <w:spacing w:before="221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32"/>
        </w:rPr>
        <w:t>目</w:t>
      </w:r>
      <w:r>
        <w:rPr>
          <w:rFonts w:ascii="SimHei" w:hAnsi="SimHei" w:eastAsia="SimHei" w:cs="SimHei"/>
          <w:sz w:val="43"/>
          <w:szCs w:val="43"/>
          <w:spacing w:val="26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32"/>
        </w:rPr>
        <w:t>录</w:t>
      </w:r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第一部分</w:t>
      </w:r>
      <w:r>
        <w:rPr>
          <w:rFonts w:ascii="SimHei" w:hAnsi="SimHei" w:eastAsia="SimHei" w:cs="SimHei"/>
          <w:sz w:val="31"/>
          <w:szCs w:val="31"/>
          <w:spacing w:val="30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5"/>
        </w:rPr>
        <w:t>单位概况</w:t>
      </w:r>
    </w:p>
    <w:p>
      <w:pPr>
        <w:pStyle w:val="BodyText"/>
        <w:spacing w:line="316" w:lineRule="auto"/>
        <w:rPr/>
      </w:pPr>
      <w:r/>
    </w:p>
    <w:p>
      <w:pPr>
        <w:ind w:left="13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一、主要职能、职责</w:t>
      </w:r>
    </w:p>
    <w:p>
      <w:pPr>
        <w:pStyle w:val="BodyText"/>
        <w:spacing w:line="316" w:lineRule="auto"/>
        <w:rPr/>
      </w:pPr>
      <w:r/>
    </w:p>
    <w:p>
      <w:pPr>
        <w:ind w:right="2958" w:firstLine="18"/>
        <w:spacing w:before="100" w:line="465" w:lineRule="auto"/>
        <w:rPr>
          <w:rFonts w:ascii="SimHei" w:hAnsi="SimHei" w:eastAsia="SimHei" w:cs="SimHe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二、单位机构设置及决算单位构成情况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三、2023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年度单位主要工作完成情况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第二部分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8"/>
        </w:rPr>
        <w:t>单位决算情况说明</w:t>
      </w:r>
    </w:p>
    <w:p>
      <w:pPr>
        <w:ind w:left="13"/>
        <w:spacing w:before="57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一、收入支出决算总体情况说明</w:t>
      </w:r>
    </w:p>
    <w:p>
      <w:pPr>
        <w:pStyle w:val="BodyText"/>
        <w:spacing w:line="317" w:lineRule="auto"/>
        <w:rPr/>
      </w:pPr>
      <w:r/>
    </w:p>
    <w:p>
      <w:pPr>
        <w:ind w:left="18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二、收入决算情况说明</w:t>
      </w:r>
    </w:p>
    <w:p>
      <w:pPr>
        <w:pStyle w:val="BodyText"/>
        <w:spacing w:line="315" w:lineRule="auto"/>
        <w:rPr/>
      </w:pPr>
      <w:r/>
    </w:p>
    <w:p>
      <w:pPr>
        <w:ind w:left="17"/>
        <w:spacing w:before="102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三、支出决算情况说明</w:t>
      </w:r>
    </w:p>
    <w:p>
      <w:pPr>
        <w:pStyle w:val="BodyText"/>
        <w:spacing w:line="315" w:lineRule="auto"/>
        <w:rPr/>
      </w:pPr>
      <w:r/>
    </w:p>
    <w:p>
      <w:pPr>
        <w:ind w:left="46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四、财政拨款收入支出决算总体情况说明</w:t>
      </w:r>
    </w:p>
    <w:p>
      <w:pPr>
        <w:pStyle w:val="BodyText"/>
        <w:spacing w:line="317" w:lineRule="auto"/>
        <w:rPr/>
      </w:pPr>
      <w:r/>
    </w:p>
    <w:p>
      <w:pPr>
        <w:ind w:left="13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五、一般公共预算财政拨款支出决算情况说明</w:t>
      </w:r>
    </w:p>
    <w:p>
      <w:pPr>
        <w:pStyle w:val="BodyText"/>
        <w:spacing w:line="315" w:lineRule="auto"/>
        <w:rPr/>
      </w:pPr>
      <w:r/>
    </w:p>
    <w:p>
      <w:pPr>
        <w:ind w:left="11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六、一般公共预算财政拨款基本支出决算情况说明</w:t>
      </w:r>
    </w:p>
    <w:p>
      <w:pPr>
        <w:pStyle w:val="BodyText"/>
        <w:spacing w:line="315" w:lineRule="auto"/>
        <w:rPr/>
      </w:pPr>
      <w:r/>
    </w:p>
    <w:p>
      <w:pPr>
        <w:ind w:left="14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七、一般公共预算财政拨款项目支出决算情况说明</w:t>
      </w:r>
    </w:p>
    <w:p>
      <w:pPr>
        <w:pStyle w:val="BodyText"/>
        <w:spacing w:line="317" w:lineRule="auto"/>
        <w:rPr/>
      </w:pPr>
      <w:r/>
    </w:p>
    <w:p>
      <w:pPr>
        <w:ind w:left="7"/>
        <w:spacing w:before="102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八、财政拨款“三公</w:t>
      </w:r>
      <w:r>
        <w:rPr>
          <w:rFonts w:ascii="FangSong" w:hAnsi="FangSong" w:eastAsia="FangSong" w:cs="FangSong"/>
          <w:sz w:val="31"/>
          <w:szCs w:val="31"/>
          <w:spacing w:val="-9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”经费支出决算情况说明</w:t>
      </w:r>
    </w:p>
    <w:p>
      <w:pPr>
        <w:pStyle w:val="BodyText"/>
        <w:spacing w:line="314" w:lineRule="auto"/>
        <w:rPr/>
      </w:pPr>
      <w:r/>
    </w:p>
    <w:p>
      <w:pPr>
        <w:ind w:left="20"/>
        <w:spacing w:before="10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九、政府性基金预算财政拨款支出决算情况说明</w:t>
      </w:r>
    </w:p>
    <w:p>
      <w:pPr>
        <w:pStyle w:val="BodyText"/>
        <w:spacing w:line="317" w:lineRule="auto"/>
        <w:rPr/>
      </w:pPr>
      <w:r/>
    </w:p>
    <w:p>
      <w:pPr>
        <w:ind w:left="17"/>
        <w:spacing w:before="102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十、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国有资本经营预算财政拨款支出决算情况说明</w:t>
      </w:r>
    </w:p>
    <w:p>
      <w:pPr>
        <w:spacing w:line="227" w:lineRule="auto"/>
        <w:sectPr>
          <w:footerReference w:type="default" r:id="rId2"/>
          <w:pgSz w:w="11906" w:h="16839"/>
          <w:pgMar w:top="1431" w:right="1785" w:bottom="1091" w:left="1735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7"/>
        <w:spacing w:before="18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十一、机构运行经费支出决算情况说明</w:t>
      </w:r>
    </w:p>
    <w:p>
      <w:pPr>
        <w:pStyle w:val="BodyText"/>
        <w:spacing w:line="316" w:lineRule="auto"/>
        <w:rPr/>
      </w:pPr>
      <w:r/>
    </w:p>
    <w:p>
      <w:pPr>
        <w:ind w:left="17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十二、政府采购支出决算情况说明</w:t>
      </w:r>
    </w:p>
    <w:p>
      <w:pPr>
        <w:pStyle w:val="BodyText"/>
        <w:spacing w:line="314" w:lineRule="auto"/>
        <w:rPr/>
      </w:pPr>
      <w:r/>
    </w:p>
    <w:p>
      <w:pPr>
        <w:ind w:left="17"/>
        <w:spacing w:before="10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十三、</w:t>
      </w:r>
      <w:r>
        <w:rPr>
          <w:rFonts w:ascii="FangSong" w:hAnsi="FangSong" w:eastAsia="FangSong" w:cs="FangSong"/>
          <w:sz w:val="31"/>
          <w:szCs w:val="31"/>
          <w:spacing w:val="-8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国有资产占用情况说明</w:t>
      </w:r>
    </w:p>
    <w:p>
      <w:pPr>
        <w:pStyle w:val="BodyText"/>
        <w:spacing w:line="316" w:lineRule="auto"/>
        <w:rPr/>
      </w:pPr>
      <w:r/>
    </w:p>
    <w:p>
      <w:pPr>
        <w:ind w:left="17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十四、预算绩效情况说明</w:t>
      </w:r>
    </w:p>
    <w:p>
      <w:pPr>
        <w:spacing w:before="176"/>
        <w:rPr/>
      </w:pPr>
      <w:r/>
    </w:p>
    <w:tbl>
      <w:tblPr>
        <w:tblStyle w:val="TableNormal"/>
        <w:tblW w:w="6227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353"/>
        <w:gridCol w:w="4874"/>
      </w:tblGrid>
      <w:tr>
        <w:trPr>
          <w:trHeight w:val="561" w:hRule="atLeast"/>
        </w:trPr>
        <w:tc>
          <w:tcPr>
            <w:tcW w:w="1353" w:type="dxa"/>
            <w:vAlign w:val="top"/>
          </w:tcPr>
          <w:p>
            <w:pPr>
              <w:spacing w:line="227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6"/>
              </w:rPr>
              <w:t>第三部分</w:t>
            </w:r>
          </w:p>
        </w:tc>
        <w:tc>
          <w:tcPr>
            <w:tcW w:w="4874" w:type="dxa"/>
            <w:vAlign w:val="top"/>
          </w:tcPr>
          <w:p>
            <w:pPr>
              <w:ind w:left="89"/>
              <w:spacing w:before="1" w:line="227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5"/>
              </w:rPr>
              <w:t>名词解释</w:t>
            </w:r>
          </w:p>
        </w:tc>
      </w:tr>
      <w:tr>
        <w:trPr>
          <w:trHeight w:val="800" w:hRule="atLeast"/>
        </w:trPr>
        <w:tc>
          <w:tcPr>
            <w:tcW w:w="1353" w:type="dxa"/>
            <w:vAlign w:val="top"/>
          </w:tcPr>
          <w:p>
            <w:pPr>
              <w:spacing w:before="238" w:line="227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6"/>
              </w:rPr>
              <w:t>第四部分</w:t>
            </w:r>
          </w:p>
        </w:tc>
        <w:tc>
          <w:tcPr>
            <w:tcW w:w="4874" w:type="dxa"/>
            <w:vAlign w:val="top"/>
          </w:tcPr>
          <w:p>
            <w:pPr>
              <w:spacing w:before="238" w:line="226" w:lineRule="auto"/>
              <w:jc w:val="right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9"/>
              </w:rPr>
              <w:t>决算公开联系方式及信息反馈渠道</w:t>
            </w:r>
          </w:p>
        </w:tc>
      </w:tr>
      <w:tr>
        <w:trPr>
          <w:trHeight w:val="563" w:hRule="atLeast"/>
        </w:trPr>
        <w:tc>
          <w:tcPr>
            <w:tcW w:w="1353" w:type="dxa"/>
            <w:vAlign w:val="top"/>
          </w:tcPr>
          <w:p>
            <w:pPr>
              <w:spacing w:before="238" w:line="187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6"/>
              </w:rPr>
              <w:t>第五部分</w:t>
            </w:r>
          </w:p>
        </w:tc>
        <w:tc>
          <w:tcPr>
            <w:tcW w:w="4874" w:type="dxa"/>
            <w:vAlign w:val="top"/>
          </w:tcPr>
          <w:p>
            <w:pPr>
              <w:ind w:left="95"/>
              <w:spacing w:before="238" w:line="187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5"/>
              </w:rPr>
              <w:t>单位决算表</w:t>
            </w:r>
          </w:p>
        </w:tc>
      </w:tr>
    </w:tbl>
    <w:p>
      <w:pPr>
        <w:pStyle w:val="BodyText"/>
        <w:spacing w:line="372" w:lineRule="auto"/>
        <w:rPr/>
      </w:pPr>
      <w:r/>
    </w:p>
    <w:p>
      <w:pPr>
        <w:ind w:left="13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一、收入支出决算总表</w:t>
      </w:r>
    </w:p>
    <w:p>
      <w:pPr>
        <w:pStyle w:val="BodyText"/>
        <w:spacing w:line="315" w:lineRule="auto"/>
        <w:rPr/>
      </w:pPr>
      <w:r/>
    </w:p>
    <w:p>
      <w:pPr>
        <w:ind w:left="18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二、收入决算表</w:t>
      </w:r>
    </w:p>
    <w:p>
      <w:pPr>
        <w:pStyle w:val="BodyText"/>
        <w:spacing w:line="317" w:lineRule="auto"/>
        <w:rPr/>
      </w:pPr>
      <w:r/>
    </w:p>
    <w:p>
      <w:pPr>
        <w:ind w:left="17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三、支出决算表</w:t>
      </w:r>
    </w:p>
    <w:p>
      <w:pPr>
        <w:pStyle w:val="BodyText"/>
        <w:spacing w:line="315" w:lineRule="auto"/>
        <w:rPr/>
      </w:pPr>
      <w:r/>
    </w:p>
    <w:p>
      <w:pPr>
        <w:ind w:left="46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四、财政拨款收入支出决算总表</w:t>
      </w:r>
    </w:p>
    <w:p>
      <w:pPr>
        <w:pStyle w:val="BodyText"/>
        <w:spacing w:line="315" w:lineRule="auto"/>
        <w:rPr/>
      </w:pPr>
      <w:r/>
    </w:p>
    <w:p>
      <w:pPr>
        <w:ind w:left="13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五、一般公共预算财政拨款支出决算表</w:t>
      </w:r>
    </w:p>
    <w:p>
      <w:pPr>
        <w:pStyle w:val="BodyText"/>
        <w:spacing w:line="317" w:lineRule="auto"/>
        <w:rPr/>
      </w:pPr>
      <w:r/>
    </w:p>
    <w:p>
      <w:pPr>
        <w:ind w:left="11"/>
        <w:spacing w:before="102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六、一般公共预算财政拨款基本支出决算明细表</w:t>
      </w:r>
    </w:p>
    <w:p>
      <w:pPr>
        <w:pStyle w:val="BodyText"/>
        <w:spacing w:line="315" w:lineRule="auto"/>
        <w:rPr/>
      </w:pPr>
      <w:r/>
    </w:p>
    <w:p>
      <w:pPr>
        <w:ind w:left="14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七、一般公共预算财政拨款项目支出决算明细表</w:t>
      </w:r>
    </w:p>
    <w:p>
      <w:pPr>
        <w:pStyle w:val="BodyText"/>
        <w:spacing w:line="314" w:lineRule="auto"/>
        <w:rPr/>
      </w:pPr>
      <w:r/>
    </w:p>
    <w:p>
      <w:pPr>
        <w:ind w:left="7"/>
        <w:spacing w:before="10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八、政府性基金预算财政拨款收入支出决算表</w:t>
      </w:r>
    </w:p>
    <w:p>
      <w:pPr>
        <w:pStyle w:val="BodyText"/>
        <w:spacing w:line="320" w:lineRule="auto"/>
        <w:rPr/>
      </w:pPr>
      <w:r/>
    </w:p>
    <w:p>
      <w:pPr>
        <w:ind w:left="20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九、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国有资本经营预算财政拨款支出决算表</w:t>
      </w:r>
    </w:p>
    <w:p>
      <w:pPr>
        <w:pStyle w:val="BodyText"/>
        <w:spacing w:line="315" w:lineRule="auto"/>
        <w:rPr/>
      </w:pPr>
      <w:r/>
    </w:p>
    <w:p>
      <w:pPr>
        <w:ind w:left="17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十、财政拨款“三公</w:t>
      </w:r>
      <w:r>
        <w:rPr>
          <w:rFonts w:ascii="FangSong" w:hAnsi="FangSong" w:eastAsia="FangSong" w:cs="FangSong"/>
          <w:sz w:val="31"/>
          <w:szCs w:val="31"/>
          <w:spacing w:val="-10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”经费支出决算表</w:t>
      </w:r>
    </w:p>
    <w:p>
      <w:pPr>
        <w:spacing w:line="227" w:lineRule="auto"/>
        <w:sectPr>
          <w:footerReference w:type="default" r:id="rId3"/>
          <w:pgSz w:w="11906" w:h="16839"/>
          <w:pgMar w:top="1431" w:right="1785" w:bottom="1091" w:left="1735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firstLine="633"/>
        <w:spacing w:before="186" w:line="3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十一、机构运行经费支出、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国有资产占用情况及政府采购支出信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息表</w:t>
      </w:r>
    </w:p>
    <w:p>
      <w:pPr>
        <w:spacing w:line="318" w:lineRule="auto"/>
        <w:sectPr>
          <w:footerReference w:type="default" r:id="rId4"/>
          <w:pgSz w:w="11906" w:h="16839"/>
          <w:pgMar w:top="1431" w:right="1224" w:bottom="1091" w:left="1119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694"/>
        <w:spacing w:before="147" w:line="226" w:lineRule="auto"/>
        <w:outlineLvl w:val="0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7"/>
        </w:rPr>
        <w:t>第一部分</w:t>
      </w:r>
      <w:r>
        <w:rPr>
          <w:rFonts w:ascii="SimHei" w:hAnsi="SimHei" w:eastAsia="SimHei" w:cs="SimHei"/>
          <w:sz w:val="35"/>
          <w:szCs w:val="35"/>
          <w:spacing w:val="7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7"/>
        </w:rPr>
        <w:t>单位概况</w:t>
      </w:r>
    </w:p>
    <w:p>
      <w:pPr>
        <w:pStyle w:val="BodyText"/>
        <w:spacing w:line="285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left="638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一、主要职能、职责</w:t>
      </w:r>
    </w:p>
    <w:p>
      <w:pPr>
        <w:pStyle w:val="BodyText"/>
        <w:spacing w:line="432" w:lineRule="auto"/>
        <w:rPr/>
      </w:pPr>
      <w:r/>
    </w:p>
    <w:p>
      <w:pPr>
        <w:ind w:firstLine="651"/>
        <w:spacing w:before="101" w:line="35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鄂尔多斯市总工会职工服务中心为全市困难职工提</w:t>
      </w:r>
      <w:r>
        <w:rPr>
          <w:rFonts w:ascii="FangSong" w:hAnsi="FangSong" w:eastAsia="FangSong" w:cs="FangSong"/>
          <w:sz w:val="31"/>
          <w:szCs w:val="31"/>
          <w:spacing w:val="13"/>
        </w:rPr>
        <w:t>供生活医疗助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学救助服务，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同时承担职业介绍，职业技能培训的组织工作，及在职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职工医疗互助保障行动窗口服务工作。鄂尔多斯市总工会职工</w:t>
      </w:r>
      <w:r>
        <w:rPr>
          <w:rFonts w:ascii="FangSong" w:hAnsi="FangSong" w:eastAsia="FangSong" w:cs="FangSong"/>
          <w:sz w:val="31"/>
          <w:szCs w:val="31"/>
          <w:spacing w:val="13"/>
        </w:rPr>
        <w:t>服务中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心直接面向全市职工群众和基层工会的服务窗口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,</w:t>
      </w:r>
      <w:r>
        <w:rPr>
          <w:rFonts w:ascii="FangSong" w:hAnsi="FangSong" w:eastAsia="FangSong" w:cs="FangSong"/>
          <w:sz w:val="31"/>
          <w:szCs w:val="31"/>
          <w:spacing w:val="11"/>
        </w:rPr>
        <w:t>是宣传党的路线方针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政策，维护职工合法权益的重要阵地，为全市职工开展困难救</w:t>
      </w:r>
      <w:r>
        <w:rPr>
          <w:rFonts w:ascii="FangSong" w:hAnsi="FangSong" w:eastAsia="FangSong" w:cs="FangSong"/>
          <w:sz w:val="31"/>
          <w:szCs w:val="31"/>
          <w:spacing w:val="13"/>
        </w:rPr>
        <w:t>助、法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律援助、信访接待、就业服务、工会法人登记、心理疏导等各项服务。</w:t>
      </w:r>
    </w:p>
    <w:p>
      <w:pPr>
        <w:ind w:left="659"/>
        <w:spacing w:before="241" w:line="227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二、单位机构设置及决算单位构成情况</w:t>
      </w:r>
    </w:p>
    <w:p>
      <w:pPr>
        <w:pStyle w:val="BodyText"/>
        <w:spacing w:line="431" w:lineRule="auto"/>
        <w:rPr/>
      </w:pPr>
      <w:r/>
    </w:p>
    <w:p>
      <w:pPr>
        <w:ind w:left="19" w:right="111" w:firstLine="671"/>
        <w:spacing w:before="101" w:line="29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．本单位鄂尔多斯市总工会职工服务中心，为鄂尔多斯市总工会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的二级预算单位，本单位无内设机构，本单位无下属单位。</w:t>
      </w:r>
    </w:p>
    <w:p>
      <w:pPr>
        <w:ind w:left="7" w:right="116" w:firstLine="620"/>
        <w:spacing w:before="219" w:line="29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2</w:t>
      </w:r>
      <w:r>
        <w:rPr>
          <w:rFonts w:ascii="Times New Roman" w:hAnsi="Times New Roman" w:eastAsia="Times New Roman" w:cs="Times New Roman"/>
          <w:sz w:val="31"/>
          <w:szCs w:val="31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．从决算单位构成看，纳入本单位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2024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年决算编制范围</w:t>
      </w:r>
      <w:r>
        <w:rPr>
          <w:rFonts w:ascii="FangSong" w:hAnsi="FangSong" w:eastAsia="FangSong" w:cs="FangSong"/>
          <w:sz w:val="31"/>
          <w:szCs w:val="31"/>
          <w:spacing w:val="9"/>
        </w:rPr>
        <w:t>的预算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单位共计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家，详细情况见表：</w:t>
      </w:r>
    </w:p>
    <w:p>
      <w:pPr>
        <w:spacing w:line="14" w:lineRule="exact"/>
        <w:rPr/>
      </w:pPr>
      <w:r/>
    </w:p>
    <w:tbl>
      <w:tblPr>
        <w:tblStyle w:val="TableNormal"/>
        <w:tblW w:w="8400" w:type="dxa"/>
        <w:tblInd w:w="8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40"/>
        <w:gridCol w:w="3258"/>
        <w:gridCol w:w="4602"/>
      </w:tblGrid>
      <w:tr>
        <w:trPr>
          <w:trHeight w:val="1255" w:hRule="atLeast"/>
        </w:trPr>
        <w:tc>
          <w:tcPr>
            <w:tcW w:w="540" w:type="dxa"/>
            <w:vAlign w:val="top"/>
            <w:textDirection w:val="tbRlV"/>
          </w:tcPr>
          <w:p>
            <w:pPr>
              <w:ind w:left="157"/>
              <w:spacing w:before="109" w:line="206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16"/>
              </w:rPr>
              <w:t>序</w:t>
            </w:r>
            <w:r>
              <w:rPr>
                <w:rFonts w:ascii="FangSong" w:hAnsi="FangSong" w:eastAsia="FangSong" w:cs="FangSong"/>
                <w:sz w:val="31"/>
                <w:szCs w:val="31"/>
                <w:spacing w:val="14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16"/>
              </w:rPr>
              <w:t>号</w:t>
            </w:r>
          </w:p>
        </w:tc>
        <w:tc>
          <w:tcPr>
            <w:tcW w:w="325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1013"/>
              <w:spacing w:before="101" w:line="226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</w:rPr>
              <w:t>单位名称</w:t>
            </w:r>
          </w:p>
        </w:tc>
        <w:tc>
          <w:tcPr>
            <w:tcW w:w="4602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ind w:left="1686"/>
              <w:spacing w:before="101" w:line="226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</w:rPr>
              <w:t>单位性质</w:t>
            </w:r>
          </w:p>
        </w:tc>
      </w:tr>
      <w:tr>
        <w:trPr>
          <w:trHeight w:val="1255" w:hRule="atLeast"/>
        </w:trPr>
        <w:tc>
          <w:tcPr>
            <w:tcW w:w="540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86" w:line="193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3258" w:type="dxa"/>
            <w:vAlign w:val="top"/>
          </w:tcPr>
          <w:p>
            <w:pPr>
              <w:ind w:left="685" w:right="350" w:hanging="320"/>
              <w:spacing w:before="156" w:line="324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7"/>
              </w:rPr>
              <w:t>鄂尔多斯市总工会</w:t>
            </w:r>
            <w:r>
              <w:rPr>
                <w:rFonts w:ascii="FangSong" w:hAnsi="FangSong" w:eastAsia="FangSong" w:cs="FangSong"/>
                <w:sz w:val="31"/>
                <w:szCs w:val="3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6"/>
              </w:rPr>
              <w:t>职工服务中心</w:t>
            </w:r>
          </w:p>
        </w:tc>
        <w:tc>
          <w:tcPr>
            <w:tcW w:w="4602" w:type="dxa"/>
            <w:vAlign w:val="top"/>
          </w:tcPr>
          <w:p>
            <w:pPr>
              <w:ind w:left="1045"/>
              <w:spacing w:before="158" w:line="226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6"/>
              </w:rPr>
              <w:t>公益一类事业单位</w:t>
            </w:r>
          </w:p>
        </w:tc>
      </w:tr>
    </w:tbl>
    <w:p>
      <w:pPr>
        <w:ind w:left="645"/>
        <w:spacing w:before="20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无下级预算单位</w:t>
      </w:r>
    </w:p>
    <w:p>
      <w:pPr>
        <w:pStyle w:val="BodyText"/>
        <w:spacing w:line="304" w:lineRule="auto"/>
        <w:rPr/>
      </w:pPr>
      <w:r/>
    </w:p>
    <w:p>
      <w:pPr>
        <w:ind w:left="737"/>
        <w:spacing w:before="102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三、2023</w:t>
      </w:r>
      <w:r>
        <w:rPr>
          <w:rFonts w:ascii="SimHei" w:hAnsi="SimHei" w:eastAsia="SimHei" w:cs="SimHei"/>
          <w:sz w:val="31"/>
          <w:szCs w:val="31"/>
          <w:spacing w:val="-6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年度单位主要工作完成情况</w:t>
      </w:r>
    </w:p>
    <w:p>
      <w:pPr>
        <w:spacing w:line="226" w:lineRule="auto"/>
        <w:sectPr>
          <w:footerReference w:type="default" r:id="rId5"/>
          <w:pgSz w:w="11906" w:h="16839"/>
          <w:pgMar w:top="1431" w:right="970" w:bottom="1089" w:left="1102" w:header="0" w:footer="929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ind w:left="2" w:right="2" w:firstLine="704"/>
        <w:spacing w:before="181" w:line="32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年，鄂尔多斯市总工会职工服务中心全面学习贯彻党的二十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大和中国工会十八大精神，紧紧围绕市委三个四目标任务</w:t>
      </w:r>
      <w:r>
        <w:rPr>
          <w:rFonts w:ascii="FangSong" w:hAnsi="FangSong" w:eastAsia="FangSong" w:cs="FangSong"/>
          <w:sz w:val="31"/>
          <w:szCs w:val="31"/>
          <w:spacing w:val="13"/>
        </w:rPr>
        <w:t>和市总工会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重点工作，聚焦职工急难愁盼问题，大力开</w:t>
      </w:r>
      <w:r>
        <w:rPr>
          <w:rFonts w:ascii="FangSong" w:hAnsi="FangSong" w:eastAsia="FangSong" w:cs="FangSong"/>
          <w:sz w:val="31"/>
          <w:szCs w:val="31"/>
          <w:spacing w:val="11"/>
        </w:rPr>
        <w:t>展职工医疗互助保障、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难帮扶、心理疏导、服务中心赋能增效、接诉即办、就业</w:t>
      </w:r>
      <w:r>
        <w:rPr>
          <w:rFonts w:ascii="FangSong" w:hAnsi="FangSong" w:eastAsia="FangSong" w:cs="FangSong"/>
          <w:sz w:val="31"/>
          <w:szCs w:val="31"/>
          <w:spacing w:val="13"/>
        </w:rPr>
        <w:t>服务等系列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活动，不断优化服务环境，加强党风廉政建设，各项工作圆满</w:t>
      </w:r>
      <w:r>
        <w:rPr>
          <w:rFonts w:ascii="FangSong" w:hAnsi="FangSong" w:eastAsia="FangSong" w:cs="FangSong"/>
          <w:sz w:val="31"/>
          <w:szCs w:val="31"/>
          <w:spacing w:val="8"/>
        </w:rPr>
        <w:t>完成。</w:t>
      </w:r>
    </w:p>
    <w:p>
      <w:pPr>
        <w:pStyle w:val="BodyText"/>
        <w:spacing w:line="313" w:lineRule="auto"/>
        <w:rPr/>
      </w:pPr>
      <w:r/>
    </w:p>
    <w:p>
      <w:pPr>
        <w:pStyle w:val="BodyText"/>
        <w:spacing w:line="313" w:lineRule="auto"/>
        <w:rPr/>
      </w:pPr>
      <w:r/>
    </w:p>
    <w:p>
      <w:pPr>
        <w:pStyle w:val="BodyText"/>
        <w:spacing w:line="314" w:lineRule="auto"/>
        <w:rPr/>
      </w:pPr>
      <w:r/>
    </w:p>
    <w:p>
      <w:pPr>
        <w:ind w:left="2924"/>
        <w:spacing w:before="114" w:line="226" w:lineRule="auto"/>
        <w:outlineLvl w:val="0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6"/>
        </w:rPr>
        <w:t>第二部分</w:t>
      </w:r>
      <w:r>
        <w:rPr>
          <w:rFonts w:ascii="SimHei" w:hAnsi="SimHei" w:eastAsia="SimHei" w:cs="SimHei"/>
          <w:sz w:val="35"/>
          <w:szCs w:val="35"/>
          <w:spacing w:val="138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6"/>
        </w:rPr>
        <w:t>单位决算情况说明</w:t>
      </w:r>
    </w:p>
    <w:p>
      <w:pPr>
        <w:pStyle w:val="BodyText"/>
        <w:spacing w:line="285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left="638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一、收入支出决算总体情况说明</w:t>
      </w:r>
    </w:p>
    <w:p>
      <w:pPr>
        <w:pStyle w:val="BodyText"/>
        <w:spacing w:line="369" w:lineRule="auto"/>
        <w:rPr/>
      </w:pPr>
      <w:r/>
    </w:p>
    <w:p>
      <w:pPr>
        <w:ind w:right="2" w:firstLine="528"/>
        <w:spacing w:before="101" w:line="36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年度收</w:t>
      </w:r>
      <w:r>
        <w:rPr>
          <w:rFonts w:ascii="FangSong" w:hAnsi="FangSong" w:eastAsia="FangSong" w:cs="FangSong"/>
          <w:sz w:val="31"/>
          <w:szCs w:val="31"/>
          <w:spacing w:val="7"/>
        </w:rPr>
        <w:t>入、支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出决算总计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40.73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万元。与年初预算相比，收、支总计各减少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6.24</w:t>
      </w:r>
      <w:r>
        <w:rPr>
          <w:rFonts w:ascii="Times New Roman" w:hAnsi="Times New Roman" w:eastAsia="Times New Roman" w:cs="Times New Roman"/>
          <w:sz w:val="31"/>
          <w:szCs w:val="31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元，减少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13.28%</w:t>
      </w:r>
      <w:r>
        <w:rPr>
          <w:rFonts w:ascii="Times New Roman" w:hAnsi="Times New Roman" w:eastAsia="Times New Roman" w:cs="Times New Roman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，变动原因：预算编制时预计调</w:t>
      </w:r>
      <w:r>
        <w:rPr>
          <w:rFonts w:ascii="FangSong" w:hAnsi="FangSong" w:eastAsia="FangSong" w:cs="FangSong"/>
          <w:sz w:val="31"/>
          <w:szCs w:val="31"/>
          <w:spacing w:val="4"/>
        </w:rPr>
        <w:t>入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人，但最终未调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入；与上年决算相比，收、支总计各增加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16.77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万元，增长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70.01%</w:t>
      </w:r>
      <w:r>
        <w:rPr>
          <w:rFonts w:ascii="Times New Roman" w:hAnsi="Times New Roman" w:eastAsia="Times New Roman" w:cs="Times New Roman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其中：</w:t>
      </w:r>
    </w:p>
    <w:p>
      <w:pPr>
        <w:ind w:left="500"/>
        <w:spacing w:before="280" w:line="234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（一）收入决算总计</w:t>
      </w:r>
      <w:r>
        <w:rPr>
          <w:rFonts w:ascii="KaiTi" w:hAnsi="KaiTi" w:eastAsia="KaiTi" w:cs="KaiTi"/>
          <w:sz w:val="31"/>
          <w:szCs w:val="31"/>
          <w:spacing w:val="2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2"/>
        </w:rPr>
        <w:t>40.73</w:t>
      </w:r>
      <w:r>
        <w:rPr>
          <w:rFonts w:ascii="KaiTi" w:hAnsi="KaiTi" w:eastAsia="KaiTi" w:cs="KaiTi"/>
          <w:sz w:val="31"/>
          <w:szCs w:val="31"/>
          <w:spacing w:val="-33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2"/>
        </w:rPr>
        <w:t>万元。包括：</w:t>
      </w:r>
    </w:p>
    <w:p>
      <w:pPr>
        <w:pStyle w:val="BodyText"/>
        <w:spacing w:line="368" w:lineRule="auto"/>
        <w:rPr/>
      </w:pPr>
      <w:r/>
    </w:p>
    <w:p>
      <w:pPr>
        <w:ind w:left="6" w:firstLine="500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1.</w:t>
      </w:r>
      <w:r>
        <w:rPr>
          <w:rFonts w:ascii="FangSong" w:hAnsi="FangSong" w:eastAsia="FangSong" w:cs="FangSong"/>
          <w:sz w:val="31"/>
          <w:szCs w:val="31"/>
          <w:spacing w:val="6"/>
        </w:rPr>
        <w:t>本年收入决算合计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40.73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万元。与上年</w:t>
      </w:r>
      <w:r>
        <w:rPr>
          <w:rFonts w:ascii="FangSong" w:hAnsi="FangSong" w:eastAsia="FangSong" w:cs="FangSong"/>
          <w:sz w:val="31"/>
          <w:szCs w:val="31"/>
          <w:spacing w:val="5"/>
        </w:rPr>
        <w:t>决算相比，增加</w:t>
      </w:r>
      <w:r>
        <w:rPr>
          <w:rFonts w:ascii="FangSong" w:hAnsi="FangSong" w:eastAsia="FangSong" w:cs="FangSong"/>
          <w:sz w:val="31"/>
          <w:szCs w:val="31"/>
          <w:spacing w:val="4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16.77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元，增长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70.01%</w:t>
      </w:r>
      <w:r>
        <w:rPr>
          <w:rFonts w:ascii="Times New Roman" w:hAnsi="Times New Roman" w:eastAsia="Times New Roman" w:cs="Times New Roman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，变动原因：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年补发退休人员张文工资，且职业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年金从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年起由财政拨付。</w:t>
      </w:r>
    </w:p>
    <w:p>
      <w:pPr>
        <w:ind w:right="2" w:firstLine="466"/>
        <w:spacing w:before="286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2.</w:t>
      </w:r>
      <w:r>
        <w:rPr>
          <w:rFonts w:ascii="FangSong" w:hAnsi="FangSong" w:eastAsia="FangSong" w:cs="FangSong"/>
          <w:sz w:val="31"/>
          <w:szCs w:val="31"/>
          <w:spacing w:val="5"/>
        </w:rPr>
        <w:t>使用非财政拨款结余和专用结余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万元。与上年</w:t>
      </w:r>
      <w:r>
        <w:rPr>
          <w:rFonts w:ascii="FangSong" w:hAnsi="FangSong" w:eastAsia="FangSong" w:cs="FangSong"/>
          <w:sz w:val="31"/>
          <w:szCs w:val="31"/>
          <w:spacing w:val="4"/>
        </w:rPr>
        <w:t>决算相比，增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加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万元，与上年决算相比无变化，变动原因：不存在此项内容。</w:t>
      </w:r>
    </w:p>
    <w:p>
      <w:pPr>
        <w:spacing w:line="355" w:lineRule="auto"/>
        <w:sectPr>
          <w:footerReference w:type="default" r:id="rId6"/>
          <w:pgSz w:w="11906" w:h="16839"/>
          <w:pgMar w:top="1431" w:right="1082" w:bottom="1091" w:left="1102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2" w:right="184" w:firstLine="478"/>
        <w:spacing w:before="161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3.</w:t>
      </w:r>
      <w:r>
        <w:rPr>
          <w:rFonts w:ascii="Times New Roman" w:hAnsi="Times New Roman" w:eastAsia="Times New Roman" w:cs="Times New Roman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年初结转和结余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万元。与上年决算相比，增加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与上年决算相比无变化，变动原因：不存在此项内容。</w:t>
      </w:r>
    </w:p>
    <w:p>
      <w:pPr>
        <w:ind w:left="523"/>
        <w:spacing w:before="284" w:line="234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（二）支出决算总计</w:t>
      </w:r>
      <w:r>
        <w:rPr>
          <w:rFonts w:ascii="KaiTi" w:hAnsi="KaiTi" w:eastAsia="KaiTi" w:cs="KaiTi"/>
          <w:sz w:val="31"/>
          <w:szCs w:val="31"/>
          <w:spacing w:val="3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40.73</w:t>
      </w:r>
      <w:r>
        <w:rPr>
          <w:rFonts w:ascii="KaiTi" w:hAnsi="KaiTi" w:eastAsia="KaiTi" w:cs="KaiTi"/>
          <w:sz w:val="31"/>
          <w:szCs w:val="31"/>
          <w:spacing w:val="-51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万元。包括：</w:t>
      </w:r>
    </w:p>
    <w:p>
      <w:pPr>
        <w:pStyle w:val="BodyText"/>
        <w:spacing w:line="367" w:lineRule="auto"/>
        <w:rPr/>
      </w:pPr>
      <w:r/>
    </w:p>
    <w:p>
      <w:pPr>
        <w:ind w:left="5" w:right="111" w:firstLine="500"/>
        <w:spacing w:before="10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1.</w:t>
      </w:r>
      <w:r>
        <w:rPr>
          <w:rFonts w:ascii="FangSong" w:hAnsi="FangSong" w:eastAsia="FangSong" w:cs="FangSong"/>
          <w:sz w:val="31"/>
          <w:szCs w:val="31"/>
          <w:spacing w:val="6"/>
        </w:rPr>
        <w:t>本年支出决算合计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40.73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万元。与上年</w:t>
      </w:r>
      <w:r>
        <w:rPr>
          <w:rFonts w:ascii="FangSong" w:hAnsi="FangSong" w:eastAsia="FangSong" w:cs="FangSong"/>
          <w:sz w:val="31"/>
          <w:szCs w:val="31"/>
          <w:spacing w:val="5"/>
        </w:rPr>
        <w:t>决算相比，增加</w:t>
      </w:r>
      <w:r>
        <w:rPr>
          <w:rFonts w:ascii="FangSong" w:hAnsi="FangSong" w:eastAsia="FangSong" w:cs="FangSong"/>
          <w:sz w:val="31"/>
          <w:szCs w:val="31"/>
          <w:spacing w:val="4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16.77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元，增长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70.01%</w:t>
      </w:r>
      <w:r>
        <w:rPr>
          <w:rFonts w:ascii="Times New Roman" w:hAnsi="Times New Roman" w:eastAsia="Times New Roman" w:cs="Times New Roman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，变动原因：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年补发退休人员张文工资，且职业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年金从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年起由财政拨付。</w:t>
      </w:r>
    </w:p>
    <w:p>
      <w:pPr>
        <w:ind w:firstLine="468"/>
        <w:spacing w:before="273" w:line="36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2.</w:t>
      </w:r>
      <w:r>
        <w:rPr>
          <w:rFonts w:ascii="FangSong" w:hAnsi="FangSong" w:eastAsia="FangSong" w:cs="FangSong"/>
          <w:sz w:val="31"/>
          <w:szCs w:val="31"/>
          <w:spacing w:val="8"/>
        </w:rPr>
        <w:t>结余分配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万元。结余分配事项：无结余。与上年决算相比，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增加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万元，与上年决算相比无变化，变动原因：不存在此项内容。</w:t>
      </w:r>
    </w:p>
    <w:p>
      <w:pPr>
        <w:ind w:right="113" w:firstLine="498"/>
        <w:spacing w:before="272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3.</w:t>
      </w:r>
      <w:r>
        <w:rPr>
          <w:rFonts w:ascii="FangSong" w:hAnsi="FangSong" w:eastAsia="FangSong" w:cs="FangSong"/>
          <w:sz w:val="31"/>
          <w:szCs w:val="31"/>
          <w:spacing w:val="4"/>
        </w:rPr>
        <w:t>年末结转和结余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万元。结转和结余事项：</w:t>
      </w:r>
      <w:r>
        <w:rPr>
          <w:rFonts w:ascii="FangSong" w:hAnsi="FangSong" w:eastAsia="FangSong" w:cs="FangSong"/>
          <w:sz w:val="31"/>
          <w:szCs w:val="31"/>
          <w:spacing w:val="3"/>
        </w:rPr>
        <w:t>无结余。与上年决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算相比，增加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万元，与上年决算相比无变化，变动原因：不存在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此项内容。</w:t>
      </w:r>
    </w:p>
    <w:p>
      <w:pPr>
        <w:ind w:left="598"/>
        <w:spacing w:before="28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二、收入决算情况说明</w:t>
      </w:r>
    </w:p>
    <w:p>
      <w:pPr>
        <w:pStyle w:val="BodyText"/>
        <w:spacing w:line="368" w:lineRule="auto"/>
        <w:rPr/>
      </w:pPr>
      <w:r/>
    </w:p>
    <w:p>
      <w:pPr>
        <w:ind w:left="1" w:right="113" w:firstLine="527"/>
        <w:spacing w:before="100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年度本</w:t>
      </w:r>
      <w:r>
        <w:rPr>
          <w:rFonts w:ascii="FangSong" w:hAnsi="FangSong" w:eastAsia="FangSong" w:cs="FangSong"/>
          <w:sz w:val="31"/>
          <w:szCs w:val="31"/>
          <w:spacing w:val="7"/>
        </w:rPr>
        <w:t>年收入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决算合计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40.73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万元，其中：</w:t>
      </w:r>
    </w:p>
    <w:p>
      <w:pPr>
        <w:ind w:left="483" w:right="1100"/>
        <w:spacing w:before="269" w:line="4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本年一般公共预算财政拨款收入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40.73</w:t>
      </w:r>
      <w:r>
        <w:rPr>
          <w:rFonts w:ascii="Times New Roman" w:hAnsi="Times New Roman" w:eastAsia="Times New Roman" w:cs="Times New Roman"/>
          <w:sz w:val="31"/>
          <w:szCs w:val="31"/>
          <w:spacing w:val="3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占</w:t>
      </w:r>
      <w:r>
        <w:rPr>
          <w:rFonts w:ascii="FangSong" w:hAnsi="FangSong" w:eastAsia="FangSong" w:cs="FangSong"/>
          <w:sz w:val="31"/>
          <w:szCs w:val="31"/>
          <w:spacing w:val="4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100.00%</w:t>
      </w:r>
      <w:r>
        <w:rPr>
          <w:rFonts w:ascii="FangSong" w:hAnsi="FangSong" w:eastAsia="FangSong" w:cs="FangSong"/>
          <w:sz w:val="31"/>
          <w:szCs w:val="31"/>
        </w:rPr>
        <w:t>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本年政府性基金预算财政拨款收入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占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0.00%</w:t>
      </w:r>
      <w:r>
        <w:rPr>
          <w:rFonts w:ascii="FangSong" w:hAnsi="FangSong" w:eastAsia="FangSong" w:cs="FangSong"/>
          <w:sz w:val="31"/>
          <w:szCs w:val="31"/>
          <w:spacing w:val="3"/>
        </w:rPr>
        <w:t>；</w:t>
      </w:r>
    </w:p>
    <w:p>
      <w:pPr>
        <w:ind w:left="483" w:right="915" w:firstLine="24"/>
        <w:spacing w:before="55" w:line="4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本年国有资本经营预算财政拨款收入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占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0.00%</w:t>
      </w:r>
      <w:r>
        <w:rPr>
          <w:rFonts w:ascii="FangSong" w:hAnsi="FangSong" w:eastAsia="FangSong" w:cs="FangSong"/>
          <w:sz w:val="31"/>
          <w:szCs w:val="31"/>
          <w:spacing w:val="1"/>
        </w:rPr>
        <w:t>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本年上级补助收入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占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0.00%</w:t>
      </w:r>
      <w:r>
        <w:rPr>
          <w:rFonts w:ascii="FangSong" w:hAnsi="FangSong" w:eastAsia="FangSong" w:cs="FangSong"/>
          <w:sz w:val="31"/>
          <w:szCs w:val="31"/>
          <w:spacing w:val="1"/>
        </w:rPr>
        <w:t>；</w:t>
      </w:r>
    </w:p>
    <w:p>
      <w:pPr>
        <w:spacing w:line="499" w:lineRule="auto"/>
        <w:sectPr>
          <w:footerReference w:type="default" r:id="rId7"/>
          <w:pgSz w:w="11906" w:h="16839"/>
          <w:pgMar w:top="1431" w:right="970" w:bottom="1089" w:left="1103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51" w:right="4027"/>
        <w:spacing w:before="150" w:line="4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本年事业收入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占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0.00%</w:t>
      </w:r>
      <w:r>
        <w:rPr>
          <w:rFonts w:ascii="FangSong" w:hAnsi="FangSong" w:eastAsia="FangSong" w:cs="FangSong"/>
          <w:sz w:val="31"/>
          <w:szCs w:val="31"/>
          <w:spacing w:val="-2"/>
        </w:rPr>
        <w:t>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本年经营收入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占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0.00%</w:t>
      </w:r>
      <w:r>
        <w:rPr>
          <w:rFonts w:ascii="FangSong" w:hAnsi="FangSong" w:eastAsia="FangSong" w:cs="FangSong"/>
          <w:sz w:val="31"/>
          <w:szCs w:val="31"/>
          <w:spacing w:val="-2"/>
        </w:rPr>
        <w:t>；</w:t>
      </w:r>
    </w:p>
    <w:p>
      <w:pPr>
        <w:ind w:left="475" w:right="2721"/>
        <w:spacing w:before="50" w:line="4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本年附属单位上缴收入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占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0.0</w:t>
      </w: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0%</w:t>
      </w:r>
      <w:r>
        <w:rPr>
          <w:rFonts w:ascii="FangSong" w:hAnsi="FangSong" w:eastAsia="FangSong" w:cs="FangSong"/>
          <w:sz w:val="31"/>
          <w:szCs w:val="31"/>
          <w:spacing w:val="-1"/>
        </w:rPr>
        <w:t>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本年其他收入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占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0.00%</w:t>
      </w:r>
      <w:r>
        <w:rPr>
          <w:rFonts w:ascii="FangSong" w:hAnsi="FangSong" w:eastAsia="FangSong" w:cs="FangSong"/>
          <w:sz w:val="31"/>
          <w:szCs w:val="31"/>
          <w:spacing w:val="1"/>
        </w:rPr>
        <w:t>。</w:t>
      </w:r>
    </w:p>
    <w:p>
      <w:pPr>
        <w:ind w:firstLine="2017"/>
        <w:spacing w:before="33" w:line="3986" w:lineRule="exact"/>
        <w:rPr/>
      </w:pPr>
      <w:r>
        <w:rPr>
          <w:position w:val="-79"/>
        </w:rPr>
        <w:drawing>
          <wp:inline distT="0" distB="0" distL="0" distR="0">
            <wp:extent cx="3056254" cy="253111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56254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ind w:left="3200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图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8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收入决算图</w:t>
      </w:r>
    </w:p>
    <w:p>
      <w:pPr>
        <w:pStyle w:val="BodyText"/>
        <w:spacing w:line="380" w:lineRule="auto"/>
        <w:rPr/>
      </w:pPr>
      <w:r/>
    </w:p>
    <w:p>
      <w:pPr>
        <w:ind w:left="606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三、支出决算情况说明</w:t>
      </w:r>
    </w:p>
    <w:p>
      <w:pPr>
        <w:pStyle w:val="BodyText"/>
        <w:spacing w:line="368" w:lineRule="auto"/>
        <w:rPr/>
      </w:pPr>
      <w:r/>
    </w:p>
    <w:p>
      <w:pPr>
        <w:ind w:firstLine="637"/>
        <w:spacing w:before="10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年度本年支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出决算合计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40.73</w:t>
      </w:r>
      <w:r>
        <w:rPr>
          <w:rFonts w:ascii="Times New Roman" w:hAnsi="Times New Roman" w:eastAsia="Times New Roman" w:cs="Times New Roman"/>
          <w:sz w:val="31"/>
          <w:szCs w:val="31"/>
          <w:spacing w:val="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万元，其中：</w:t>
      </w:r>
    </w:p>
    <w:p>
      <w:pPr>
        <w:ind w:left="475"/>
        <w:spacing w:before="270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本年基本支出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6.44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占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15.81%</w:t>
      </w:r>
      <w:r>
        <w:rPr>
          <w:rFonts w:ascii="FangSong" w:hAnsi="FangSong" w:eastAsia="FangSong" w:cs="FangSong"/>
          <w:sz w:val="31"/>
          <w:szCs w:val="31"/>
          <w:spacing w:val="-1"/>
        </w:rPr>
        <w:t>；</w:t>
      </w:r>
    </w:p>
    <w:p>
      <w:pPr>
        <w:pStyle w:val="BodyText"/>
        <w:spacing w:line="378" w:lineRule="auto"/>
        <w:rPr/>
      </w:pPr>
      <w:r/>
    </w:p>
    <w:p>
      <w:pPr>
        <w:ind w:left="451"/>
        <w:spacing w:before="10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本年项目支出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34.29</w:t>
      </w:r>
      <w:r>
        <w:rPr>
          <w:rFonts w:ascii="Times New Roman" w:hAnsi="Times New Roman" w:eastAsia="Times New Roman" w:cs="Times New Roman"/>
          <w:sz w:val="31"/>
          <w:szCs w:val="31"/>
          <w:spacing w:val="42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占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84.</w:t>
      </w:r>
      <w:r>
        <w:rPr>
          <w:rFonts w:ascii="Times New Roman" w:hAnsi="Times New Roman" w:eastAsia="Times New Roman" w:cs="Times New Roman"/>
          <w:sz w:val="31"/>
          <w:szCs w:val="31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19%</w:t>
      </w:r>
      <w:r>
        <w:rPr>
          <w:rFonts w:ascii="FangSong" w:hAnsi="FangSong" w:eastAsia="FangSong" w:cs="FangSong"/>
          <w:sz w:val="31"/>
          <w:szCs w:val="31"/>
          <w:spacing w:val="-2"/>
        </w:rPr>
        <w:t>；</w:t>
      </w:r>
    </w:p>
    <w:p>
      <w:pPr>
        <w:pStyle w:val="BodyText"/>
        <w:spacing w:line="378" w:lineRule="auto"/>
        <w:rPr/>
      </w:pPr>
      <w:r/>
    </w:p>
    <w:p>
      <w:pPr>
        <w:ind w:left="448"/>
        <w:spacing w:before="100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本年上缴上级支出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0.00%</w:t>
      </w:r>
      <w:r>
        <w:rPr>
          <w:rFonts w:ascii="FangSong" w:hAnsi="FangSong" w:eastAsia="FangSong" w:cs="FangSong"/>
          <w:sz w:val="31"/>
          <w:szCs w:val="31"/>
          <w:spacing w:val="1"/>
        </w:rPr>
        <w:t>；</w:t>
      </w:r>
    </w:p>
    <w:p>
      <w:pPr>
        <w:spacing w:line="228" w:lineRule="auto"/>
        <w:sectPr>
          <w:footerReference w:type="default" r:id="rId8"/>
          <w:pgSz w:w="11906" w:h="16839"/>
          <w:pgMar w:top="1431" w:right="1084" w:bottom="1091" w:left="1135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92"/>
        <w:spacing w:before="150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本年经营支出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占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0.00%</w:t>
      </w:r>
      <w:r>
        <w:rPr>
          <w:rFonts w:ascii="FangSong" w:hAnsi="FangSong" w:eastAsia="FangSong" w:cs="FangSong"/>
          <w:sz w:val="31"/>
          <w:szCs w:val="31"/>
        </w:rPr>
        <w:t>；</w:t>
      </w:r>
    </w:p>
    <w:p>
      <w:pPr>
        <w:pStyle w:val="BodyText"/>
        <w:spacing w:line="379" w:lineRule="auto"/>
        <w:rPr/>
      </w:pPr>
      <w:r/>
    </w:p>
    <w:p>
      <w:pPr>
        <w:ind w:left="516"/>
        <w:spacing w:before="100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本年对附属单位补助支出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0.00%</w:t>
      </w:r>
      <w:r>
        <w:rPr>
          <w:rFonts w:ascii="FangSong" w:hAnsi="FangSong" w:eastAsia="FangSong" w:cs="FangSong"/>
          <w:sz w:val="31"/>
          <w:szCs w:val="31"/>
          <w:spacing w:val="2"/>
        </w:rPr>
        <w:t>。</w:t>
      </w:r>
    </w:p>
    <w:p>
      <w:pPr>
        <w:pStyle w:val="BodyText"/>
        <w:spacing w:line="386" w:lineRule="auto"/>
        <w:rPr/>
      </w:pPr>
      <w:r/>
    </w:p>
    <w:p>
      <w:pPr>
        <w:ind w:firstLine="2198"/>
        <w:spacing w:line="3942" w:lineRule="exact"/>
        <w:rPr/>
      </w:pPr>
      <w:r>
        <w:rPr>
          <w:position w:val="-78"/>
        </w:rPr>
        <w:drawing>
          <wp:inline distT="0" distB="0" distL="0" distR="0">
            <wp:extent cx="3486784" cy="250316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86784" cy="250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57" w:lineRule="auto"/>
        <w:rPr/>
      </w:pPr>
      <w:r/>
    </w:p>
    <w:p>
      <w:pPr>
        <w:ind w:left="3791"/>
        <w:spacing w:before="10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图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2.</w:t>
      </w:r>
      <w:r>
        <w:rPr>
          <w:rFonts w:ascii="FangSong" w:hAnsi="FangSong" w:eastAsia="FangSong" w:cs="FangSong"/>
          <w:sz w:val="31"/>
          <w:szCs w:val="31"/>
        </w:rPr>
        <w:t>支出决算图</w:t>
      </w:r>
    </w:p>
    <w:p>
      <w:pPr>
        <w:pStyle w:val="BodyText"/>
        <w:spacing w:line="309" w:lineRule="auto"/>
        <w:rPr/>
      </w:pPr>
      <w:r/>
    </w:p>
    <w:p>
      <w:pPr>
        <w:pStyle w:val="BodyText"/>
        <w:spacing w:line="309" w:lineRule="auto"/>
        <w:rPr/>
      </w:pPr>
      <w:r/>
    </w:p>
    <w:p>
      <w:pPr>
        <w:pStyle w:val="BodyText"/>
        <w:spacing w:line="310" w:lineRule="auto"/>
        <w:rPr/>
      </w:pPr>
      <w:r/>
    </w:p>
    <w:p>
      <w:pPr>
        <w:ind w:left="660"/>
        <w:spacing w:before="102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四、财政拨款收入支出决算总体情况说明</w:t>
      </w:r>
    </w:p>
    <w:p>
      <w:pPr>
        <w:pStyle w:val="BodyText"/>
        <w:spacing w:line="367" w:lineRule="auto"/>
        <w:rPr/>
      </w:pPr>
      <w:r/>
    </w:p>
    <w:p>
      <w:pPr>
        <w:ind w:firstLine="703"/>
        <w:spacing w:before="101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年度财政拨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款收入、支出决算总计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40.73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万元，与年初预算相比，收、支总计各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减少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6.24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万元，减少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13.28%</w:t>
      </w:r>
      <w:r>
        <w:rPr>
          <w:rFonts w:ascii="Times New Roman" w:hAnsi="Times New Roman" w:eastAsia="Times New Roman" w:cs="Times New Roman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，变动原因：预算编制时预计调入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9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人，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但最终未调入；与上年决算相比，收、支总计各增加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16.77</w:t>
      </w:r>
      <w:r>
        <w:rPr>
          <w:rFonts w:ascii="Times New Roman" w:hAnsi="Times New Roman" w:eastAsia="Times New Roman" w:cs="Times New Roman"/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</w:t>
      </w:r>
      <w:r>
        <w:rPr>
          <w:rFonts w:ascii="FangSong" w:hAnsi="FangSong" w:eastAsia="FangSong" w:cs="FangSong"/>
          <w:sz w:val="31"/>
          <w:szCs w:val="31"/>
          <w:spacing w:val="3"/>
        </w:rPr>
        <w:t>增长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70.01%</w:t>
      </w:r>
      <w:r>
        <w:rPr>
          <w:rFonts w:ascii="FangSong" w:hAnsi="FangSong" w:eastAsia="FangSong" w:cs="FangSong"/>
          <w:sz w:val="31"/>
          <w:szCs w:val="31"/>
          <w:spacing w:val="-3"/>
        </w:rPr>
        <w:t>，变动原因：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年补发退休人员张文工资，且职业年金从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年起由财政拨付。</w:t>
      </w:r>
    </w:p>
    <w:p>
      <w:pPr>
        <w:ind w:left="650"/>
        <w:spacing w:before="29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五、一般公共预算财政拨款支出决算情况说明</w:t>
      </w:r>
    </w:p>
    <w:p>
      <w:pPr>
        <w:spacing w:line="226" w:lineRule="auto"/>
        <w:sectPr>
          <w:footerReference w:type="default" r:id="rId10"/>
          <w:pgSz w:w="11906" w:h="16839"/>
          <w:pgMar w:top="1431" w:right="1082" w:bottom="1091" w:left="1094" w:header="0" w:footer="929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ind w:left="14" w:right="212" w:firstLine="673"/>
        <w:spacing w:before="162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3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年度一般公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共预算财政拨款支出决算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40.73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万元。与年初预算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46.97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万元相比，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完成年初预算的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86.72%</w:t>
      </w:r>
      <w:r>
        <w:rPr>
          <w:rFonts w:ascii="Times New Roman" w:hAnsi="Times New Roman" w:eastAsia="Times New Roman" w:cs="Times New Roman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。其中：</w:t>
      </w:r>
    </w:p>
    <w:p>
      <w:pPr>
        <w:ind w:left="507"/>
        <w:spacing w:before="281" w:line="231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（一）一般公共服务（类）</w:t>
      </w:r>
    </w:p>
    <w:p>
      <w:pPr>
        <w:pStyle w:val="BodyText"/>
        <w:spacing w:line="373" w:lineRule="auto"/>
        <w:rPr/>
      </w:pPr>
      <w:r/>
    </w:p>
    <w:p>
      <w:pPr>
        <w:ind w:left="10" w:right="1" w:firstLine="501"/>
        <w:spacing w:before="10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一般公共服务类决算数为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2.20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万元，与年初预算相比增加减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0.88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万元。其中：</w:t>
      </w:r>
    </w:p>
    <w:p>
      <w:pPr>
        <w:ind w:left="7" w:firstLine="505"/>
        <w:spacing w:before="269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群众团体事务（款）事业运行（项）。年初预算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1.32</w:t>
      </w:r>
      <w:r>
        <w:rPr>
          <w:rFonts w:ascii="Times New Roman" w:hAnsi="Times New Roman" w:eastAsia="Times New Roman" w:cs="Times New Roman"/>
          <w:sz w:val="31"/>
          <w:szCs w:val="31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万元，支出决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2.20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166.67%</w:t>
      </w:r>
      <w:r>
        <w:rPr>
          <w:rFonts w:ascii="Times New Roman" w:hAnsi="Times New Roman" w:eastAsia="Times New Roman" w:cs="Times New Roman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。决算数与年初预算数的差异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原因：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由于补发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2022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年退休人员交通补助，因此比年初预算增加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0.88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万元。</w:t>
      </w:r>
    </w:p>
    <w:p>
      <w:pPr>
        <w:ind w:left="531"/>
        <w:spacing w:before="270" w:line="232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（二）社会保障和就业支出（类）</w:t>
      </w:r>
    </w:p>
    <w:p>
      <w:pPr>
        <w:pStyle w:val="BodyText"/>
        <w:spacing w:line="371" w:lineRule="auto"/>
        <w:rPr/>
      </w:pPr>
      <w:r/>
    </w:p>
    <w:p>
      <w:pPr>
        <w:ind w:right="2"/>
        <w:spacing w:before="101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社会保障和就业支出类决算数为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21.25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万元，与年初预算</w:t>
      </w:r>
      <w:r>
        <w:rPr>
          <w:rFonts w:ascii="FangSong" w:hAnsi="FangSong" w:eastAsia="FangSong" w:cs="FangSong"/>
          <w:sz w:val="31"/>
          <w:szCs w:val="31"/>
          <w:spacing w:val="6"/>
        </w:rPr>
        <w:t>相比减少</w:t>
      </w:r>
    </w:p>
    <w:p>
      <w:pPr>
        <w:spacing w:before="25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3.60</w:t>
      </w:r>
      <w:r>
        <w:rPr>
          <w:rFonts w:ascii="Times New Roman" w:hAnsi="Times New Roman" w:eastAsia="Times New Roman" w:cs="Times New Roman"/>
          <w:sz w:val="31"/>
          <w:szCs w:val="31"/>
          <w:spacing w:val="3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万元。其中：</w:t>
      </w:r>
    </w:p>
    <w:p>
      <w:pPr>
        <w:pStyle w:val="BodyText"/>
        <w:spacing w:line="368" w:lineRule="auto"/>
        <w:rPr/>
      </w:pPr>
      <w:r/>
    </w:p>
    <w:p>
      <w:pPr>
        <w:ind w:left="7" w:firstLine="522"/>
        <w:spacing w:before="101" w:line="33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．行政事业单位养老支出（款）行政单位离退休（项）。</w:t>
      </w:r>
      <w:r>
        <w:rPr>
          <w:rFonts w:ascii="FangSong" w:hAnsi="FangSong" w:eastAsia="FangSong" w:cs="FangSong"/>
          <w:sz w:val="31"/>
          <w:szCs w:val="31"/>
          <w:spacing w:val="6"/>
        </w:rPr>
        <w:t>年初预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3.6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万元，支出决算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4.24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117.78%</w:t>
      </w:r>
      <w:r>
        <w:rPr>
          <w:rFonts w:ascii="FangSong" w:hAnsi="FangSong" w:eastAsia="FangSong" w:cs="FangSong"/>
          <w:sz w:val="31"/>
          <w:szCs w:val="31"/>
          <w:spacing w:val="1"/>
        </w:rPr>
        <w:t>。决算数与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年初预算数的差异原因：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由于补发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2022</w:t>
      </w:r>
      <w:r>
        <w:rPr>
          <w:rFonts w:ascii="Times New Roman" w:hAnsi="Times New Roman" w:eastAsia="Times New Roman" w:cs="Times New Roman"/>
          <w:sz w:val="31"/>
          <w:szCs w:val="31"/>
          <w:spacing w:val="3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年退休人员工资补助，因此比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年初预算增加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0.64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万元。</w:t>
      </w:r>
    </w:p>
    <w:p>
      <w:pPr>
        <w:pStyle w:val="BodyText"/>
        <w:spacing w:line="380" w:lineRule="auto"/>
        <w:rPr/>
      </w:pPr>
      <w:r/>
    </w:p>
    <w:p>
      <w:pPr>
        <w:ind w:left="7" w:right="72" w:firstLine="465"/>
        <w:spacing w:before="10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</w:t>
      </w:r>
      <w:r>
        <w:rPr>
          <w:rFonts w:ascii="Times New Roman" w:hAnsi="Times New Roman" w:eastAsia="Times New Roman" w:cs="Times New Roman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．行政事业单位养老支出（款）机关事业单位基本养老保险</w:t>
      </w:r>
      <w:r>
        <w:rPr>
          <w:rFonts w:ascii="FangSong" w:hAnsi="FangSong" w:eastAsia="FangSong" w:cs="FangSong"/>
          <w:sz w:val="31"/>
          <w:szCs w:val="31"/>
          <w:spacing w:val="7"/>
        </w:rPr>
        <w:t>缴费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支出（项）。年初预算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14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万元，支出决算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11.23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万元，完成年初预算</w:t>
      </w:r>
    </w:p>
    <w:p>
      <w:pPr>
        <w:spacing w:line="299" w:lineRule="auto"/>
        <w:sectPr>
          <w:footerReference w:type="default" r:id="rId12"/>
          <w:pgSz w:w="11906" w:h="16839"/>
          <w:pgMar w:top="1431" w:right="1082" w:bottom="1091" w:left="1095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4" w:right="227" w:firstLine="13"/>
        <w:spacing w:before="16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的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80.21%</w:t>
      </w:r>
      <w:r>
        <w:rPr>
          <w:rFonts w:ascii="Times New Roman" w:hAnsi="Times New Roman" w:eastAsia="Times New Roman" w:cs="Times New Roman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。决算数与年初预算数的差异原因：预算编制时预计调入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人，但最终未调入。</w:t>
      </w:r>
    </w:p>
    <w:p>
      <w:pPr>
        <w:ind w:left="10" w:firstLine="470"/>
        <w:spacing w:before="29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．行政事业单位养老支出（款）机关事业单位</w:t>
      </w:r>
      <w:r>
        <w:rPr>
          <w:rFonts w:ascii="FangSong" w:hAnsi="FangSong" w:eastAsia="FangSong" w:cs="FangSong"/>
          <w:sz w:val="31"/>
          <w:szCs w:val="31"/>
          <w:spacing w:val="7"/>
        </w:rPr>
        <w:t>职业年金缴费支出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11"/>
        </w:rPr>
        <w:t>（项）。年初预算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1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万元，支出决算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1"/>
        </w:rPr>
        <w:t>5.61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万元，完成年初预</w:t>
      </w:r>
      <w:r>
        <w:rPr>
          <w:rFonts w:ascii="FangSong" w:hAnsi="FangSong" w:eastAsia="FangSong" w:cs="FangSong"/>
          <w:sz w:val="31"/>
          <w:szCs w:val="31"/>
          <w:spacing w:val="-12"/>
        </w:rPr>
        <w:t>算的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2"/>
        </w:rPr>
        <w:t>80.</w:t>
      </w:r>
      <w:r>
        <w:rPr>
          <w:rFonts w:ascii="Times New Roman" w:hAnsi="Times New Roman" w:eastAsia="Times New Roman" w:cs="Times New Roman"/>
          <w:sz w:val="31"/>
          <w:szCs w:val="31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2"/>
        </w:rPr>
        <w:t>14%</w:t>
      </w:r>
      <w:r>
        <w:rPr>
          <w:rFonts w:ascii="FangSong" w:hAnsi="FangSong" w:eastAsia="FangSong" w:cs="FangSong"/>
          <w:sz w:val="31"/>
          <w:szCs w:val="31"/>
          <w:spacing w:val="-12"/>
        </w:rPr>
        <w:t>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决算数与年初预算数的差异原因：年初预算上浮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10%</w:t>
      </w:r>
      <w:r>
        <w:rPr>
          <w:rFonts w:ascii="FangSong" w:hAnsi="FangSong" w:eastAsia="FangSong" w:cs="FangSong"/>
          <w:sz w:val="31"/>
          <w:szCs w:val="31"/>
          <w:spacing w:val="6"/>
        </w:rPr>
        <w:t>。</w:t>
      </w:r>
    </w:p>
    <w:p>
      <w:pPr>
        <w:ind w:right="113" w:firstLine="473"/>
        <w:spacing w:before="292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．其他社会保障和就业支出（项）。年初预算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0.2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万元，支出决算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0.17</w:t>
      </w:r>
      <w:r>
        <w:rPr>
          <w:rFonts w:ascii="Times New Roman" w:hAnsi="Times New Roman" w:eastAsia="Times New Roman" w:cs="Times New Roman"/>
          <w:sz w:val="31"/>
          <w:szCs w:val="31"/>
          <w:spacing w:val="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85%</w:t>
      </w:r>
      <w:r>
        <w:rPr>
          <w:rFonts w:ascii="Times New Roman" w:hAnsi="Times New Roman" w:eastAsia="Times New Roman" w:cs="Times New Roman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。决算数与年初预算数的差异原因：</w:t>
      </w:r>
    </w:p>
    <w:p>
      <w:pPr>
        <w:ind w:left="15"/>
        <w:spacing w:before="53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年初预算上浮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10%</w:t>
      </w:r>
      <w:r>
        <w:rPr>
          <w:rFonts w:ascii="FangSong" w:hAnsi="FangSong" w:eastAsia="FangSong" w:cs="FangSong"/>
          <w:sz w:val="31"/>
          <w:szCs w:val="31"/>
          <w:spacing w:val="1"/>
        </w:rPr>
        <w:t>。</w:t>
      </w:r>
    </w:p>
    <w:p>
      <w:pPr>
        <w:pStyle w:val="BodyText"/>
        <w:spacing w:line="367" w:lineRule="auto"/>
        <w:rPr/>
      </w:pPr>
      <w:r/>
    </w:p>
    <w:p>
      <w:pPr>
        <w:ind w:left="532"/>
        <w:spacing w:before="101" w:line="233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（三）卫生健康支出（类）</w:t>
      </w:r>
    </w:p>
    <w:p>
      <w:pPr>
        <w:pStyle w:val="BodyText"/>
        <w:spacing w:line="370" w:lineRule="auto"/>
        <w:rPr/>
      </w:pPr>
      <w:r/>
    </w:p>
    <w:p>
      <w:pPr>
        <w:ind w:left="14" w:right="113" w:firstLine="489"/>
        <w:spacing w:before="10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卫生健康支出类决算数为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6.00</w:t>
      </w:r>
      <w:r>
        <w:rPr>
          <w:rFonts w:ascii="Times New Roman" w:hAnsi="Times New Roman" w:eastAsia="Times New Roman" w:cs="Times New Roman"/>
          <w:sz w:val="31"/>
          <w:szCs w:val="31"/>
          <w:spacing w:val="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万元，与年初预算相比减少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1.80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元。其中：</w:t>
      </w:r>
    </w:p>
    <w:p>
      <w:pPr>
        <w:ind w:left="9" w:right="23" w:firstLine="484"/>
        <w:spacing w:before="266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行政事业单位医疗（款）事业单位医疗（项）。年初预算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7.8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支出决算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6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76.92%</w:t>
      </w:r>
      <w:r>
        <w:rPr>
          <w:rFonts w:ascii="Times New Roman" w:hAnsi="Times New Roman" w:eastAsia="Times New Roman" w:cs="Times New Roman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。决算数与年初预算数的差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异原因：预算编制时预计调入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人，但最终未调入。</w:t>
      </w:r>
    </w:p>
    <w:p>
      <w:pPr>
        <w:ind w:left="508"/>
        <w:spacing w:before="276" w:line="232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（四）住房保障支出（类）</w:t>
      </w:r>
    </w:p>
    <w:p>
      <w:pPr>
        <w:pStyle w:val="BodyText"/>
        <w:spacing w:line="371" w:lineRule="auto"/>
        <w:rPr/>
      </w:pPr>
      <w:r/>
    </w:p>
    <w:p>
      <w:pPr>
        <w:ind w:left="14" w:right="113" w:firstLine="477"/>
        <w:spacing w:before="102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住房保障支出类决算数为</w:t>
      </w:r>
      <w:r>
        <w:rPr>
          <w:rFonts w:ascii="FangSong" w:hAnsi="FangSong" w:eastAsia="FangSong" w:cs="FangSong"/>
          <w:sz w:val="31"/>
          <w:szCs w:val="31"/>
          <w:spacing w:val="4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11.28</w:t>
      </w:r>
      <w:r>
        <w:rPr>
          <w:rFonts w:ascii="Times New Roman" w:hAnsi="Times New Roman" w:eastAsia="Times New Roman" w:cs="Times New Roman"/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万元，与年初预算相比减少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1.72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元。其中：</w:t>
      </w:r>
    </w:p>
    <w:p>
      <w:pPr>
        <w:spacing w:line="363" w:lineRule="auto"/>
        <w:sectPr>
          <w:footerReference w:type="default" r:id="rId13"/>
          <w:pgSz w:w="11906" w:h="16839"/>
          <w:pgMar w:top="1431" w:right="970" w:bottom="1091" w:left="1093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right="2" w:firstLine="519"/>
        <w:spacing w:before="148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住房改革支出（款）住房公积金（项）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。年初预算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13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万元，支出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决算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11.28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86.77%</w:t>
      </w:r>
      <w:r>
        <w:rPr>
          <w:rFonts w:ascii="Times New Roman" w:hAnsi="Times New Roman" w:eastAsia="Times New Roman" w:cs="Times New Roman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。决</w:t>
      </w:r>
      <w:r>
        <w:rPr>
          <w:rFonts w:ascii="FangSong" w:hAnsi="FangSong" w:eastAsia="FangSong" w:cs="FangSong"/>
          <w:sz w:val="31"/>
          <w:szCs w:val="31"/>
          <w:spacing w:val="6"/>
        </w:rPr>
        <w:t>算数与年初预算数的差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异原因：预算编制时预计调入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人，但最终未调入。</w:t>
      </w:r>
    </w:p>
    <w:p>
      <w:pPr>
        <w:ind w:left="578"/>
        <w:spacing w:before="288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六、一般公共预算财政拨款基本支出决算情</w:t>
      </w:r>
      <w:r>
        <w:rPr>
          <w:rFonts w:ascii="SimHei" w:hAnsi="SimHei" w:eastAsia="SimHei" w:cs="SimHei"/>
          <w:sz w:val="31"/>
          <w:szCs w:val="31"/>
          <w:spacing w:val="8"/>
        </w:rPr>
        <w:t>况说明</w:t>
      </w:r>
    </w:p>
    <w:p>
      <w:pPr>
        <w:pStyle w:val="BodyText"/>
        <w:spacing w:line="368" w:lineRule="auto"/>
        <w:rPr/>
      </w:pPr>
      <w:r/>
    </w:p>
    <w:p>
      <w:pPr>
        <w:ind w:left="1" w:firstLine="597"/>
        <w:spacing w:before="100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2023 </w:t>
      </w:r>
      <w:r>
        <w:rPr>
          <w:rFonts w:ascii="FangSong" w:hAnsi="FangSong" w:eastAsia="FangSong" w:cs="FangSong"/>
          <w:sz w:val="31"/>
          <w:szCs w:val="31"/>
          <w:spacing w:val="6"/>
        </w:rPr>
        <w:t>年度一般公共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预算财政拨款基本支出决算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6.44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万元，其中：</w:t>
      </w:r>
    </w:p>
    <w:p>
      <w:pPr>
        <w:ind w:left="498"/>
        <w:spacing w:before="270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（一）人员经费</w:t>
      </w:r>
      <w:r>
        <w:rPr>
          <w:rFonts w:ascii="KaiTi" w:hAnsi="KaiTi" w:eastAsia="KaiTi" w:cs="KaiTi"/>
          <w:sz w:val="31"/>
          <w:szCs w:val="31"/>
          <w:spacing w:val="4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4.24</w:t>
      </w:r>
      <w:r>
        <w:rPr>
          <w:rFonts w:ascii="KaiTi" w:hAnsi="KaiTi" w:eastAsia="KaiTi" w:cs="KaiTi"/>
          <w:sz w:val="31"/>
          <w:szCs w:val="31"/>
          <w:spacing w:val="-51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万元。</w:t>
      </w:r>
      <w:r>
        <w:rPr>
          <w:rFonts w:ascii="FangSong" w:hAnsi="FangSong" w:eastAsia="FangSong" w:cs="FangSong"/>
          <w:sz w:val="31"/>
          <w:szCs w:val="31"/>
          <w:spacing w:val="4"/>
        </w:rPr>
        <w:t>主要包括：退休费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4.24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</w:t>
      </w:r>
      <w:r>
        <w:rPr>
          <w:rFonts w:ascii="FangSong" w:hAnsi="FangSong" w:eastAsia="FangSong" w:cs="FangSong"/>
          <w:sz w:val="31"/>
          <w:szCs w:val="31"/>
          <w:spacing w:val="3"/>
        </w:rPr>
        <w:t>元。</w:t>
      </w:r>
    </w:p>
    <w:p>
      <w:pPr>
        <w:pStyle w:val="BodyText"/>
        <w:spacing w:line="375" w:lineRule="auto"/>
        <w:rPr/>
      </w:pPr>
      <w:r/>
    </w:p>
    <w:p>
      <w:pPr>
        <w:ind w:left="498"/>
        <w:spacing w:before="101" w:line="23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（二）公用经费</w:t>
      </w:r>
      <w:r>
        <w:rPr>
          <w:rFonts w:ascii="KaiTi" w:hAnsi="KaiTi" w:eastAsia="KaiTi" w:cs="KaiTi"/>
          <w:sz w:val="31"/>
          <w:szCs w:val="31"/>
          <w:spacing w:val="4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2.20</w:t>
      </w:r>
      <w:r>
        <w:rPr>
          <w:rFonts w:ascii="KaiTi" w:hAnsi="KaiTi" w:eastAsia="KaiTi" w:cs="KaiTi"/>
          <w:sz w:val="31"/>
          <w:szCs w:val="31"/>
          <w:spacing w:val="-38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万元。</w:t>
      </w:r>
      <w:r>
        <w:rPr>
          <w:rFonts w:ascii="FangSong" w:hAnsi="FangSong" w:eastAsia="FangSong" w:cs="FangSong"/>
          <w:sz w:val="31"/>
          <w:szCs w:val="31"/>
          <w:spacing w:val="4"/>
        </w:rPr>
        <w:t>主要包括：其他交通费用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2.2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万元。</w:t>
      </w:r>
    </w:p>
    <w:p>
      <w:pPr>
        <w:pStyle w:val="BodyText"/>
        <w:spacing w:line="385" w:lineRule="auto"/>
        <w:rPr/>
      </w:pPr>
      <w:r/>
    </w:p>
    <w:p>
      <w:pPr>
        <w:ind w:left="567"/>
        <w:spacing w:before="101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七、一般公共预算财政拨款项目支出决算情况说明</w:t>
      </w:r>
    </w:p>
    <w:p>
      <w:pPr>
        <w:pStyle w:val="BodyText"/>
        <w:spacing w:line="368" w:lineRule="auto"/>
        <w:rPr/>
      </w:pPr>
      <w:r/>
    </w:p>
    <w:p>
      <w:pPr>
        <w:ind w:left="7" w:right="2" w:firstLine="661"/>
        <w:spacing w:before="10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年度一般公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共预算财政拨款项目支出决算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34.29</w:t>
      </w:r>
      <w:r>
        <w:rPr>
          <w:rFonts w:ascii="Times New Roman" w:hAnsi="Times New Roman" w:eastAsia="Times New Roman" w:cs="Times New Roman"/>
          <w:sz w:val="31"/>
          <w:szCs w:val="31"/>
          <w:spacing w:val="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万元，其中：</w:t>
      </w:r>
    </w:p>
    <w:p>
      <w:pPr>
        <w:ind w:firstLine="466"/>
        <w:spacing w:before="271" w:line="36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（一）工资福利支出</w:t>
      </w:r>
      <w:r>
        <w:rPr>
          <w:rFonts w:ascii="KaiTi" w:hAnsi="KaiTi" w:eastAsia="KaiTi" w:cs="KaiTi"/>
          <w:sz w:val="31"/>
          <w:szCs w:val="31"/>
          <w:spacing w:val="3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34.29</w:t>
      </w:r>
      <w:r>
        <w:rPr>
          <w:rFonts w:ascii="KaiTi" w:hAnsi="KaiTi" w:eastAsia="KaiTi" w:cs="KaiTi"/>
          <w:sz w:val="31"/>
          <w:szCs w:val="31"/>
          <w:spacing w:val="-46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万元。</w:t>
      </w:r>
      <w:r>
        <w:rPr>
          <w:rFonts w:ascii="FangSong" w:hAnsi="FangSong" w:eastAsia="FangSong" w:cs="FangSong"/>
          <w:sz w:val="31"/>
          <w:szCs w:val="31"/>
          <w:spacing w:val="3"/>
        </w:rPr>
        <w:t>主要包括：机关事业单位基本养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老保险缴费</w:t>
      </w:r>
      <w:r>
        <w:rPr>
          <w:rFonts w:ascii="FangSong" w:hAnsi="FangSong" w:eastAsia="FangSong" w:cs="FangSong"/>
          <w:sz w:val="31"/>
          <w:szCs w:val="31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11.23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万元、职业年金缴费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5.61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万元、职工基本医疗保险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缴费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6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万元、其他社会保障缴费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0.17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万元、住房公积金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11.28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万元。</w:t>
      </w:r>
    </w:p>
    <w:p>
      <w:pPr>
        <w:ind w:left="498"/>
        <w:spacing w:before="282" w:line="230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（二）商品和服务支出</w:t>
      </w:r>
      <w:r>
        <w:rPr>
          <w:rFonts w:ascii="KaiTi" w:hAnsi="KaiTi" w:eastAsia="KaiTi" w:cs="KaiTi"/>
          <w:sz w:val="31"/>
          <w:szCs w:val="31"/>
          <w:spacing w:val="2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2"/>
        </w:rPr>
        <w:t>0.00</w:t>
      </w:r>
      <w:r>
        <w:rPr>
          <w:rFonts w:ascii="KaiTi" w:hAnsi="KaiTi" w:eastAsia="KaiTi" w:cs="KaiTi"/>
          <w:sz w:val="31"/>
          <w:szCs w:val="31"/>
          <w:spacing w:val="-43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2"/>
        </w:rPr>
        <w:t>万元。</w:t>
      </w:r>
    </w:p>
    <w:p>
      <w:pPr>
        <w:pStyle w:val="BodyText"/>
        <w:spacing w:line="387" w:lineRule="auto"/>
        <w:rPr/>
      </w:pPr>
      <w:r/>
    </w:p>
    <w:p>
      <w:pPr>
        <w:ind w:left="592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八、财政拨款“三公”经费支出决算情况说明</w:t>
      </w:r>
    </w:p>
    <w:p>
      <w:pPr>
        <w:pStyle w:val="BodyText"/>
        <w:spacing w:line="368" w:lineRule="auto"/>
        <w:rPr/>
      </w:pPr>
      <w:r/>
    </w:p>
    <w:p>
      <w:pPr>
        <w:ind w:left="522"/>
        <w:spacing w:before="101" w:line="231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（一）财政拨款“三公</w:t>
      </w:r>
      <w:r>
        <w:rPr>
          <w:rFonts w:ascii="KaiTi" w:hAnsi="KaiTi" w:eastAsia="KaiTi" w:cs="KaiTi"/>
          <w:sz w:val="31"/>
          <w:szCs w:val="31"/>
          <w:spacing w:val="-110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”经费支出总体情况说明</w:t>
      </w:r>
    </w:p>
    <w:p>
      <w:pPr>
        <w:spacing w:line="231" w:lineRule="auto"/>
        <w:sectPr>
          <w:footerReference w:type="default" r:id="rId14"/>
          <w:pgSz w:w="11906" w:h="16839"/>
          <w:pgMar w:top="1431" w:right="1082" w:bottom="1091" w:left="1104" w:header="0" w:footer="929" w:gutter="0"/>
        </w:sectPr>
        <w:rPr>
          <w:rFonts w:ascii="KaiTi" w:hAnsi="KaiTi" w:eastAsia="KaiTi" w:cs="KaiTi"/>
          <w:sz w:val="31"/>
          <w:szCs w:val="31"/>
        </w:rPr>
      </w:pPr>
    </w:p>
    <w:p>
      <w:pPr>
        <w:ind w:right="90" w:firstLine="680"/>
        <w:spacing w:before="159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年度财政拨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款“三公</w:t>
      </w:r>
      <w:r>
        <w:rPr>
          <w:rFonts w:ascii="FangSong" w:hAnsi="FangSong" w:eastAsia="FangSong" w:cs="FangSong"/>
          <w:sz w:val="31"/>
          <w:szCs w:val="31"/>
          <w:spacing w:val="-10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”经费全年预算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万元，支出决算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0.0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1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万元，完成预算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的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0%</w:t>
      </w:r>
      <w:r>
        <w:rPr>
          <w:rFonts w:ascii="Times New Roman" w:hAnsi="Times New Roman" w:eastAsia="Times New Roman" w:cs="Times New Roman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。其中：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因公出国（境）费全年预算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</w:t>
      </w:r>
      <w:r>
        <w:rPr>
          <w:rFonts w:ascii="FangSong" w:hAnsi="FangSong" w:eastAsia="FangSong" w:cs="FangSong"/>
          <w:sz w:val="31"/>
          <w:szCs w:val="31"/>
          <w:spacing w:val="3"/>
        </w:rPr>
        <w:t>元，支出决算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0%</w:t>
      </w:r>
      <w:r>
        <w:rPr>
          <w:rFonts w:ascii="Times New Roman" w:hAnsi="Times New Roman" w:eastAsia="Times New Roman" w:cs="Times New Roman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；公务用车购置及运行维护费全年预</w:t>
      </w:r>
      <w:r>
        <w:rPr>
          <w:rFonts w:ascii="FangSong" w:hAnsi="FangSong" w:eastAsia="FangSong" w:cs="FangSong"/>
          <w:sz w:val="31"/>
          <w:szCs w:val="31"/>
          <w:spacing w:val="8"/>
        </w:rPr>
        <w:t>算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元，支出决算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0%</w:t>
      </w:r>
      <w:r>
        <w:rPr>
          <w:rFonts w:ascii="FangSong" w:hAnsi="FangSong" w:eastAsia="FangSong" w:cs="FangSong"/>
          <w:sz w:val="31"/>
          <w:szCs w:val="31"/>
          <w:spacing w:val="7"/>
        </w:rPr>
        <w:t>；公</w:t>
      </w:r>
      <w:r>
        <w:rPr>
          <w:rFonts w:ascii="FangSong" w:hAnsi="FangSong" w:eastAsia="FangSong" w:cs="FangSong"/>
          <w:sz w:val="31"/>
          <w:szCs w:val="31"/>
          <w:spacing w:val="6"/>
        </w:rPr>
        <w:t>务接待费全年预算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万元，支出决算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42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0%</w:t>
      </w:r>
      <w:r>
        <w:rPr>
          <w:rFonts w:ascii="Times New Roman" w:hAnsi="Times New Roman" w:eastAsia="Times New Roman" w:cs="Times New Roman"/>
          <w:sz w:val="31"/>
          <w:szCs w:val="31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。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3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年度一般公共预算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财政拨款“三公</w:t>
      </w:r>
      <w:r>
        <w:rPr>
          <w:rFonts w:ascii="FangSong" w:hAnsi="FangSong" w:eastAsia="FangSong" w:cs="FangSong"/>
          <w:sz w:val="31"/>
          <w:szCs w:val="31"/>
          <w:spacing w:val="-9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”经费支出决算与预算差异原因：不存在此项内容。</w:t>
      </w:r>
    </w:p>
    <w:p>
      <w:pPr>
        <w:ind w:left="524"/>
        <w:spacing w:before="284" w:line="231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（二）财政拨款“三公</w:t>
      </w:r>
      <w:r>
        <w:rPr>
          <w:rFonts w:ascii="KaiTi" w:hAnsi="KaiTi" w:eastAsia="KaiTi" w:cs="KaiTi"/>
          <w:sz w:val="31"/>
          <w:szCs w:val="31"/>
          <w:spacing w:val="-110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”经费支出具体情况说明</w:t>
      </w:r>
    </w:p>
    <w:p>
      <w:pPr>
        <w:pStyle w:val="BodyText"/>
        <w:spacing w:line="384" w:lineRule="auto"/>
        <w:rPr/>
      </w:pPr>
      <w:r/>
    </w:p>
    <w:p>
      <w:pPr>
        <w:ind w:right="90" w:firstLine="680"/>
        <w:spacing w:before="100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年度财政拨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款“三公</w:t>
      </w:r>
      <w:r>
        <w:rPr>
          <w:rFonts w:ascii="FangSong" w:hAnsi="FangSong" w:eastAsia="FangSong" w:cs="FangSong"/>
          <w:sz w:val="31"/>
          <w:szCs w:val="31"/>
          <w:spacing w:val="-10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”经费支出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万元。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因公出国（境）费支出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9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占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0%</w:t>
      </w:r>
      <w:r>
        <w:rPr>
          <w:rFonts w:ascii="FangSong" w:hAnsi="FangSong" w:eastAsia="FangSong" w:cs="FangSong"/>
          <w:sz w:val="31"/>
          <w:szCs w:val="31"/>
          <w:spacing w:val="4"/>
        </w:rPr>
        <w:t>；公务用车购置及运行维护费支出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万元，占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0%</w:t>
      </w:r>
      <w:r>
        <w:rPr>
          <w:rFonts w:ascii="FangSong" w:hAnsi="FangSong" w:eastAsia="FangSong" w:cs="FangSong"/>
          <w:sz w:val="31"/>
          <w:szCs w:val="31"/>
          <w:spacing w:val="4"/>
        </w:rPr>
        <w:t>；公务接待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费支出</w:t>
      </w:r>
      <w:r>
        <w:rPr>
          <w:rFonts w:ascii="FangSong" w:hAnsi="FangSong" w:eastAsia="FangSong" w:cs="FangSong"/>
          <w:sz w:val="31"/>
          <w:szCs w:val="31"/>
          <w:spacing w:val="-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占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0%</w:t>
      </w:r>
      <w:r>
        <w:rPr>
          <w:rFonts w:ascii="Times New Roman" w:hAnsi="Times New Roman" w:eastAsia="Times New Roman" w:cs="Times New Roman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。其中：</w:t>
      </w:r>
    </w:p>
    <w:p>
      <w:pPr>
        <w:ind w:left="2" w:right="90" w:firstLine="655"/>
        <w:spacing w:before="294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因公出国（境）费支出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万元，全年出国（境）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团组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0  </w:t>
      </w:r>
      <w:r>
        <w:rPr>
          <w:rFonts w:ascii="FangSong" w:hAnsi="FangSong" w:eastAsia="FangSong" w:cs="FangSong"/>
          <w:sz w:val="31"/>
          <w:szCs w:val="31"/>
          <w:spacing w:val="2"/>
        </w:rPr>
        <w:t>个，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累计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人次。与上年决算相比，增加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0.0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万元，与上年决算相比无变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化，变动原因：不存在此项内容。</w:t>
      </w:r>
    </w:p>
    <w:p>
      <w:pPr>
        <w:ind w:left="627"/>
        <w:spacing w:before="297" w:line="2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2.</w:t>
      </w:r>
      <w:r>
        <w:rPr>
          <w:rFonts w:ascii="FangSong" w:hAnsi="FangSong" w:eastAsia="FangSong" w:cs="FangSong"/>
          <w:sz w:val="31"/>
          <w:szCs w:val="31"/>
          <w:spacing w:val="7"/>
        </w:rPr>
        <w:t>公务用车购置及运行维护费支出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万元。</w:t>
      </w:r>
      <w:r>
        <w:rPr>
          <w:rFonts w:ascii="FangSong" w:hAnsi="FangSong" w:eastAsia="FangSong" w:cs="FangSong"/>
          <w:sz w:val="31"/>
          <w:szCs w:val="31"/>
          <w:spacing w:val="6"/>
        </w:rPr>
        <w:t>其中：</w:t>
      </w:r>
    </w:p>
    <w:p>
      <w:pPr>
        <w:pStyle w:val="BodyText"/>
        <w:spacing w:line="384" w:lineRule="auto"/>
        <w:rPr/>
      </w:pPr>
      <w:r/>
    </w:p>
    <w:p>
      <w:pPr>
        <w:ind w:firstLine="645"/>
        <w:spacing w:before="101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4"/>
        </w:rPr>
        <w:t>）公务用车购置支出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万元。本年度使用</w:t>
      </w:r>
      <w:r>
        <w:rPr>
          <w:rFonts w:ascii="FangSong" w:hAnsi="FangSong" w:eastAsia="FangSong" w:cs="FangSong"/>
          <w:sz w:val="31"/>
          <w:szCs w:val="31"/>
          <w:spacing w:val="3"/>
        </w:rPr>
        <w:t>财政拨款购置公务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用车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辆。与上年决算相比，增加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万元，与上年决算相比无变化，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变动原因：不存在此项内容。</w:t>
      </w:r>
    </w:p>
    <w:p>
      <w:pPr>
        <w:spacing w:line="360" w:lineRule="auto"/>
        <w:sectPr>
          <w:footerReference w:type="default" r:id="rId15"/>
          <w:pgSz w:w="11906" w:h="16839"/>
          <w:pgMar w:top="1431" w:right="994" w:bottom="1091" w:left="1102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right="87" w:firstLine="645"/>
        <w:spacing w:before="16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（</w:t>
      </w: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2</w:t>
      </w:r>
      <w:r>
        <w:rPr>
          <w:rFonts w:ascii="FangSong" w:hAnsi="FangSong" w:eastAsia="FangSong" w:cs="FangSong"/>
          <w:sz w:val="31"/>
          <w:szCs w:val="31"/>
          <w:spacing w:val="12"/>
        </w:rPr>
        <w:t>）公务用车运行维护费支出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万元。公务用车运行维护费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主要用于按规定保留的公务用车的燃料费、维修费、过桥过</w:t>
      </w:r>
      <w:r>
        <w:rPr>
          <w:rFonts w:ascii="FangSong" w:hAnsi="FangSong" w:eastAsia="FangSong" w:cs="FangSong"/>
          <w:sz w:val="31"/>
          <w:szCs w:val="31"/>
          <w:spacing w:val="13"/>
        </w:rPr>
        <w:t>路费、保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险费、安全奖励费用等支出。截至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年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12</w:t>
      </w:r>
      <w:r>
        <w:rPr>
          <w:rFonts w:ascii="Times New Roman" w:hAnsi="Times New Roman" w:eastAsia="Times New Roman" w:cs="Times New Roman"/>
          <w:sz w:val="31"/>
          <w:szCs w:val="31"/>
          <w:spacing w:val="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月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31  </w:t>
      </w:r>
      <w:r>
        <w:rPr>
          <w:rFonts w:ascii="FangSong" w:hAnsi="FangSong" w:eastAsia="FangSong" w:cs="FangSong"/>
          <w:sz w:val="31"/>
          <w:szCs w:val="31"/>
          <w:spacing w:val="1"/>
        </w:rPr>
        <w:t>日，使用财政拨款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开支的公务用车保有量为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辆。与上年决算相比，增加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0.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万元，与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上年决算相比无变化，变动原因：不存在此项内容。</w:t>
      </w:r>
    </w:p>
    <w:p>
      <w:pPr>
        <w:ind w:firstLine="632"/>
        <w:spacing w:before="297" w:line="36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3.</w:t>
      </w:r>
      <w:r>
        <w:rPr>
          <w:rFonts w:ascii="FangSong" w:hAnsi="FangSong" w:eastAsia="FangSong" w:cs="FangSong"/>
          <w:sz w:val="31"/>
          <w:szCs w:val="31"/>
          <w:spacing w:val="-3"/>
        </w:rPr>
        <w:t>公务接待费支出</w:t>
      </w:r>
      <w:r>
        <w:rPr>
          <w:rFonts w:ascii="FangSong" w:hAnsi="FangSong" w:eastAsia="FangSong" w:cs="FangSong"/>
          <w:sz w:val="31"/>
          <w:szCs w:val="31"/>
          <w:spacing w:val="-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万元。其中：国内公务接待支出</w:t>
      </w:r>
      <w:r>
        <w:rPr>
          <w:rFonts w:ascii="FangSong" w:hAnsi="FangSong" w:eastAsia="FangSong" w:cs="FangSong"/>
          <w:sz w:val="31"/>
          <w:szCs w:val="31"/>
          <w:spacing w:val="-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接待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  </w:t>
      </w:r>
      <w:r>
        <w:rPr>
          <w:rFonts w:ascii="FangSong" w:hAnsi="FangSong" w:eastAsia="FangSong" w:cs="FangSong"/>
          <w:sz w:val="31"/>
          <w:szCs w:val="31"/>
          <w:spacing w:val="1"/>
        </w:rPr>
        <w:t>批次，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0  </w:t>
      </w:r>
      <w:r>
        <w:rPr>
          <w:rFonts w:ascii="FangSong" w:hAnsi="FangSong" w:eastAsia="FangSong" w:cs="FangSong"/>
          <w:sz w:val="31"/>
          <w:szCs w:val="31"/>
          <w:spacing w:val="1"/>
        </w:rPr>
        <w:t>人次；国（境）外公务接</w:t>
      </w:r>
      <w:r>
        <w:rPr>
          <w:rFonts w:ascii="FangSong" w:hAnsi="FangSong" w:eastAsia="FangSong" w:cs="FangSong"/>
          <w:sz w:val="31"/>
          <w:szCs w:val="31"/>
        </w:rPr>
        <w:t>待支出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万元，接待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 xml:space="preserve">  </w:t>
      </w:r>
      <w:r>
        <w:rPr>
          <w:rFonts w:ascii="FangSong" w:hAnsi="FangSong" w:eastAsia="FangSong" w:cs="FangSong"/>
          <w:sz w:val="31"/>
          <w:szCs w:val="31"/>
        </w:rPr>
        <w:t>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次，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  </w:t>
      </w:r>
      <w:r>
        <w:rPr>
          <w:rFonts w:ascii="FangSong" w:hAnsi="FangSong" w:eastAsia="FangSong" w:cs="FangSong"/>
          <w:sz w:val="31"/>
          <w:szCs w:val="31"/>
          <w:spacing w:val="7"/>
        </w:rPr>
        <w:t>人次。与上年决算相比，增加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万元，与上年决算相比无变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化，变动原因：不存在此项内容。</w:t>
      </w:r>
    </w:p>
    <w:p>
      <w:pPr>
        <w:ind w:left="601"/>
        <w:spacing w:before="29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九、政府性基金预算财政拨款支出决算情况说明</w:t>
      </w:r>
    </w:p>
    <w:p>
      <w:pPr>
        <w:pStyle w:val="BodyText"/>
        <w:spacing w:line="371" w:lineRule="auto"/>
        <w:rPr/>
      </w:pPr>
      <w:r/>
    </w:p>
    <w:p>
      <w:pPr>
        <w:ind w:right="90" w:firstLine="670"/>
        <w:spacing w:before="101" w:line="36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年度政府性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基金预算财政拨款支出决算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万元。与上年决算相比，增加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元，与上年决算相比无变化，变动原因：本年无政府性基金</w:t>
      </w:r>
      <w:r>
        <w:rPr>
          <w:rFonts w:ascii="FangSong" w:hAnsi="FangSong" w:eastAsia="FangSong" w:cs="FangSong"/>
          <w:sz w:val="31"/>
          <w:szCs w:val="31"/>
          <w:spacing w:val="13"/>
        </w:rPr>
        <w:t>预算财政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拨款收、支、余。</w:t>
      </w:r>
    </w:p>
    <w:p>
      <w:pPr>
        <w:ind w:left="523"/>
        <w:spacing w:before="28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十、国有资本经营预算财政拨款支出决算情况说明</w:t>
      </w:r>
    </w:p>
    <w:p>
      <w:pPr>
        <w:pStyle w:val="BodyText"/>
        <w:spacing w:line="380" w:lineRule="auto"/>
        <w:rPr/>
      </w:pPr>
      <w:r/>
    </w:p>
    <w:p>
      <w:pPr>
        <w:ind w:left="1" w:right="88" w:firstLine="678"/>
        <w:spacing w:before="102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年度国有资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本经营预算财政拨款支出决算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万元。与上年决算相比，增加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万元，与上年决算相比无变化，变动原因：本年无国有资</w:t>
      </w:r>
      <w:r>
        <w:rPr>
          <w:rFonts w:ascii="FangSong" w:hAnsi="FangSong" w:eastAsia="FangSong" w:cs="FangSong"/>
          <w:sz w:val="31"/>
          <w:szCs w:val="31"/>
          <w:spacing w:val="13"/>
        </w:rPr>
        <w:t>本经营预算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财政拨款收、支、余。</w:t>
      </w:r>
    </w:p>
    <w:p>
      <w:pPr>
        <w:ind w:left="597"/>
        <w:spacing w:before="29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十一、机构运行经费支出决算情况说明</w:t>
      </w:r>
    </w:p>
    <w:p>
      <w:pPr>
        <w:spacing w:line="226" w:lineRule="auto"/>
        <w:sectPr>
          <w:footerReference w:type="default" r:id="rId16"/>
          <w:pgSz w:w="11906" w:h="16839"/>
          <w:pgMar w:top="1431" w:right="994" w:bottom="1091" w:left="1103" w:header="0" w:footer="929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ind w:left="7" w:firstLine="528"/>
        <w:spacing w:before="15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年度机</w:t>
      </w:r>
      <w:r>
        <w:rPr>
          <w:rFonts w:ascii="FangSong" w:hAnsi="FangSong" w:eastAsia="FangSong" w:cs="FangSong"/>
          <w:sz w:val="31"/>
          <w:szCs w:val="31"/>
          <w:spacing w:val="7"/>
        </w:rPr>
        <w:t>构运行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经费支出决算</w:t>
      </w:r>
      <w:r>
        <w:rPr>
          <w:rFonts w:ascii="FangSong" w:hAnsi="FangSong" w:eastAsia="FangSong" w:cs="FangSong"/>
          <w:sz w:val="31"/>
          <w:szCs w:val="31"/>
          <w:spacing w:val="-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8"/>
        </w:rPr>
        <w:t>2.20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万元。比上年决算相</w:t>
      </w:r>
      <w:r>
        <w:rPr>
          <w:rFonts w:ascii="FangSong" w:hAnsi="FangSong" w:eastAsia="FangSong" w:cs="FangSong"/>
          <w:sz w:val="31"/>
          <w:szCs w:val="31"/>
          <w:spacing w:val="-9"/>
        </w:rPr>
        <w:t>比，增加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9"/>
        </w:rPr>
        <w:t>2.20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万元，增长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9"/>
        </w:rPr>
        <w:t>100%</w:t>
      </w:r>
      <w:r>
        <w:rPr>
          <w:rFonts w:ascii="FangSong" w:hAnsi="FangSong" w:eastAsia="FangSong" w:cs="FangSong"/>
          <w:sz w:val="31"/>
          <w:szCs w:val="31"/>
          <w:spacing w:val="-9"/>
        </w:rPr>
        <w:t>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变动原因：补发退休人员交通费。</w:t>
      </w:r>
    </w:p>
    <w:p>
      <w:pPr>
        <w:ind w:left="631"/>
        <w:spacing w:before="29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十二、政府采购支出决算情况说明</w:t>
      </w:r>
    </w:p>
    <w:p>
      <w:pPr>
        <w:pStyle w:val="BodyText"/>
        <w:spacing w:line="366" w:lineRule="auto"/>
        <w:rPr/>
      </w:pPr>
      <w:r/>
    </w:p>
    <w:p>
      <w:pPr>
        <w:ind w:left="7" w:right="90" w:firstLine="550"/>
        <w:spacing w:before="101" w:line="36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年度政府采购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支出总额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万元，其中：政府采购货物支出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1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万元、政府采购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工程支出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7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万元、政府采购服务支出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万元。政府采购授予中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小企业合同金额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占政府采购支出总额的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0%</w:t>
      </w:r>
      <w:r>
        <w:rPr>
          <w:rFonts w:ascii="Times New Roman" w:hAnsi="Times New Roman" w:eastAsia="Times New Roman" w:cs="Times New Roman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，其中：授予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小微企业合同金额</w:t>
      </w:r>
      <w:r>
        <w:rPr>
          <w:rFonts w:ascii="FangSong" w:hAnsi="FangSong" w:eastAsia="FangSong" w:cs="FangSong"/>
          <w:sz w:val="31"/>
          <w:szCs w:val="31"/>
          <w:spacing w:val="10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0.00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占政府采购支出总额的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0%</w:t>
      </w:r>
      <w:r>
        <w:rPr>
          <w:rFonts w:ascii="FangSong" w:hAnsi="FangSong" w:eastAsia="FangSong" w:cs="FangSong"/>
          <w:sz w:val="31"/>
          <w:szCs w:val="31"/>
          <w:spacing w:val="5"/>
        </w:rPr>
        <w:t>；货物采购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授予中小企业合同金额占货物支出金额的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0%</w:t>
      </w:r>
      <w:r>
        <w:rPr>
          <w:rFonts w:ascii="FangSong" w:hAnsi="FangSong" w:eastAsia="FangSong" w:cs="FangSong"/>
          <w:sz w:val="31"/>
          <w:szCs w:val="31"/>
          <w:spacing w:val="7"/>
        </w:rPr>
        <w:t>，工程采购授予中小企业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合同金额占工程支出金额的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0%</w:t>
      </w:r>
      <w:r>
        <w:rPr>
          <w:rFonts w:ascii="FangSong" w:hAnsi="FangSong" w:eastAsia="FangSong" w:cs="FangSong"/>
          <w:sz w:val="31"/>
          <w:szCs w:val="31"/>
          <w:spacing w:val="7"/>
        </w:rPr>
        <w:t>，服务采购授予中小企业合同金额占服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务支出金额的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0%</w:t>
      </w:r>
      <w:r>
        <w:rPr>
          <w:rFonts w:ascii="FangSong" w:hAnsi="FangSong" w:eastAsia="FangSong" w:cs="FangSong"/>
          <w:sz w:val="31"/>
          <w:szCs w:val="31"/>
          <w:spacing w:val="4"/>
        </w:rPr>
        <w:t>。</w:t>
      </w:r>
    </w:p>
    <w:p>
      <w:pPr>
        <w:ind w:left="607"/>
        <w:spacing w:before="29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十三、国有资产占用情况说明</w:t>
      </w:r>
    </w:p>
    <w:p>
      <w:pPr>
        <w:pStyle w:val="BodyText"/>
        <w:spacing w:line="372" w:lineRule="auto"/>
        <w:rPr/>
      </w:pPr>
      <w:r/>
    </w:p>
    <w:p>
      <w:pPr>
        <w:ind w:right="87" w:firstLine="546"/>
        <w:spacing w:before="101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截至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12</w:t>
      </w:r>
      <w:r>
        <w:rPr>
          <w:rFonts w:ascii="Times New Roman" w:hAnsi="Times New Roman" w:eastAsia="Times New Roman" w:cs="Times New Roman"/>
          <w:sz w:val="31"/>
          <w:szCs w:val="31"/>
          <w:spacing w:val="4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31  </w:t>
      </w:r>
      <w:r>
        <w:rPr>
          <w:rFonts w:ascii="FangSong" w:hAnsi="FangSong" w:eastAsia="FangSong" w:cs="FangSong"/>
          <w:sz w:val="31"/>
          <w:szCs w:val="31"/>
          <w:spacing w:val="5"/>
        </w:rPr>
        <w:t>日，本部门（单位）共有车辆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辆，其中：副部（省）级及以上领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导用车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  </w:t>
      </w:r>
      <w:r>
        <w:rPr>
          <w:rFonts w:ascii="FangSong" w:hAnsi="FangSong" w:eastAsia="FangSong" w:cs="FangSong"/>
          <w:sz w:val="31"/>
          <w:szCs w:val="31"/>
          <w:spacing w:val="4"/>
        </w:rPr>
        <w:t>辆、主要负责人用车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辆、机要通信用车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辆</w:t>
      </w:r>
      <w:r>
        <w:rPr>
          <w:rFonts w:ascii="FangSong" w:hAnsi="FangSong" w:eastAsia="FangSong" w:cs="FangSong"/>
          <w:sz w:val="31"/>
          <w:szCs w:val="31"/>
          <w:spacing w:val="3"/>
        </w:rPr>
        <w:t>、应急保障用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辆、执法执勤用车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辆、特种专业技术用车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辆</w:t>
      </w:r>
      <w:r>
        <w:rPr>
          <w:rFonts w:ascii="FangSong" w:hAnsi="FangSong" w:eastAsia="FangSong" w:cs="FangSong"/>
          <w:sz w:val="31"/>
          <w:szCs w:val="31"/>
          <w:spacing w:val="3"/>
        </w:rPr>
        <w:t>、离退休干部服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务用车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辆，其他用车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辆；单价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100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万元（含）</w:t>
      </w:r>
      <w:r>
        <w:rPr>
          <w:rFonts w:ascii="FangSong" w:hAnsi="FangSong" w:eastAsia="FangSong" w:cs="FangSong"/>
          <w:sz w:val="31"/>
          <w:szCs w:val="31"/>
          <w:spacing w:val="4"/>
        </w:rPr>
        <w:t>以上的设备（不含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车辆）</w:t>
      </w:r>
      <w:r>
        <w:rPr>
          <w:rFonts w:ascii="FangSong" w:hAnsi="FangSong" w:eastAsia="FangSong" w:cs="FangSong"/>
          <w:sz w:val="31"/>
          <w:szCs w:val="31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台（套）。</w:t>
      </w:r>
    </w:p>
    <w:p>
      <w:pPr>
        <w:ind w:left="607"/>
        <w:spacing w:before="295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十四、预算绩效情况说明</w:t>
      </w:r>
    </w:p>
    <w:p>
      <w:pPr>
        <w:spacing w:line="226" w:lineRule="auto"/>
        <w:sectPr>
          <w:footerReference w:type="default" r:id="rId17"/>
          <w:pgSz w:w="11906" w:h="16839"/>
          <w:pgMar w:top="1431" w:right="994" w:bottom="1091" w:left="1095" w:header="0" w:footer="929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ind w:left="500"/>
        <w:spacing w:before="150" w:line="229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（一）预算绩效管理工作开展情况。</w:t>
      </w:r>
    </w:p>
    <w:p>
      <w:pPr>
        <w:pStyle w:val="BodyText"/>
        <w:spacing w:line="388" w:lineRule="auto"/>
        <w:rPr/>
      </w:pPr>
      <w:r/>
    </w:p>
    <w:p>
      <w:pPr>
        <w:ind w:left="2" w:firstLine="536"/>
        <w:spacing w:before="101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根据预</w:t>
      </w:r>
      <w:r>
        <w:rPr>
          <w:rFonts w:ascii="FangSong" w:hAnsi="FangSong" w:eastAsia="FangSong" w:cs="FangSong"/>
          <w:sz w:val="31"/>
          <w:szCs w:val="31"/>
          <w:spacing w:val="11"/>
        </w:rPr>
        <w:t>算绩效管理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要求组织对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年一般公共预算项目支出全面开展绩效自</w:t>
      </w:r>
      <w:r>
        <w:rPr>
          <w:rFonts w:ascii="FangSong" w:hAnsi="FangSong" w:eastAsia="FangSong" w:cs="FangSong"/>
          <w:sz w:val="31"/>
          <w:szCs w:val="31"/>
          <w:spacing w:val="6"/>
        </w:rPr>
        <w:t>评，共有项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目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>1 </w:t>
      </w:r>
      <w:r>
        <w:rPr>
          <w:rFonts w:ascii="FangSong" w:hAnsi="FangSong" w:eastAsia="FangSong" w:cs="FangSong"/>
          <w:sz w:val="31"/>
          <w:szCs w:val="31"/>
          <w:spacing w:val="-6"/>
        </w:rPr>
        <w:t>个，共涉及资金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>34.29 </w:t>
      </w:r>
      <w:r>
        <w:rPr>
          <w:rFonts w:ascii="FangSong" w:hAnsi="FangSong" w:eastAsia="FangSong" w:cs="FangSong"/>
          <w:sz w:val="31"/>
          <w:szCs w:val="31"/>
          <w:spacing w:val="-6"/>
        </w:rPr>
        <w:t>万元，占一</w:t>
      </w:r>
      <w:r>
        <w:rPr>
          <w:rFonts w:ascii="FangSong" w:hAnsi="FangSong" w:eastAsia="FangSong" w:cs="FangSong"/>
          <w:sz w:val="31"/>
          <w:szCs w:val="31"/>
          <w:spacing w:val="-7"/>
        </w:rPr>
        <w:t>般公共预算项目支出总额的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7"/>
        </w:rPr>
        <w:t>100%</w:t>
      </w:r>
      <w:r>
        <w:rPr>
          <w:rFonts w:ascii="FangSong" w:hAnsi="FangSong" w:eastAsia="FangSong" w:cs="FangSong"/>
          <w:sz w:val="31"/>
          <w:szCs w:val="31"/>
          <w:spacing w:val="-7"/>
        </w:rPr>
        <w:t>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政府性基金预算项目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个，共涉及资金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占应纳入绩效自评的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政府性基金预算项目支出总额的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0%</w:t>
      </w:r>
      <w:r>
        <w:rPr>
          <w:rFonts w:ascii="FangSong" w:hAnsi="FangSong" w:eastAsia="FangSong" w:cs="FangSong"/>
          <w:sz w:val="31"/>
          <w:szCs w:val="31"/>
          <w:spacing w:val="6"/>
        </w:rPr>
        <w:t>；</w:t>
      </w:r>
    </w:p>
    <w:p>
      <w:pPr>
        <w:ind w:left="643"/>
        <w:spacing w:before="296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本单位无重点绩效评价项目。</w:t>
      </w:r>
    </w:p>
    <w:p>
      <w:pPr>
        <w:pStyle w:val="BodyText"/>
        <w:spacing w:line="368" w:lineRule="auto"/>
        <w:rPr/>
      </w:pPr>
      <w:r/>
    </w:p>
    <w:p>
      <w:pPr>
        <w:ind w:left="507"/>
        <w:spacing w:before="100" w:line="229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（二）单位决算中项目绩效自评结果。</w:t>
      </w:r>
    </w:p>
    <w:p>
      <w:pPr>
        <w:pStyle w:val="BodyText"/>
        <w:spacing w:line="376" w:lineRule="auto"/>
        <w:rPr/>
      </w:pPr>
      <w:r/>
    </w:p>
    <w:p>
      <w:pPr>
        <w:ind w:left="2" w:right="86" w:firstLine="527"/>
        <w:spacing w:before="10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内蒙古自治区鄂尔多斯市总工会职工服务中心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2023</w:t>
      </w:r>
      <w:r>
        <w:rPr>
          <w:rFonts w:ascii="Times New Roman" w:hAnsi="Times New Roman" w:eastAsia="Times New Roman" w:cs="Times New Roman"/>
          <w:sz w:val="31"/>
          <w:szCs w:val="31"/>
          <w:spacing w:val="3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年度在</w:t>
      </w:r>
      <w:r>
        <w:rPr>
          <w:rFonts w:ascii="FangSong" w:hAnsi="FangSong" w:eastAsia="FangSong" w:cs="FangSong"/>
          <w:sz w:val="31"/>
          <w:szCs w:val="31"/>
          <w:spacing w:val="7"/>
        </w:rPr>
        <w:t>决算中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反映</w:t>
      </w:r>
      <w:r>
        <w:rPr>
          <w:rFonts w:ascii="FangSong" w:hAnsi="FangSong" w:eastAsia="FangSong" w:cs="FangSong"/>
          <w:sz w:val="31"/>
          <w:szCs w:val="31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个一般公共预算项目，共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个项目的绩效自评结果。</w:t>
      </w:r>
    </w:p>
    <w:p>
      <w:pPr>
        <w:ind w:right="86" w:firstLine="612"/>
        <w:spacing w:before="280" w:line="36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“财政拨款医疗、养老、公积金</w:t>
      </w:r>
      <w:r>
        <w:rPr>
          <w:rFonts w:ascii="FangSong" w:hAnsi="FangSong" w:eastAsia="FangSong" w:cs="FangSong"/>
          <w:sz w:val="31"/>
          <w:szCs w:val="31"/>
          <w:spacing w:val="-9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”项目自评综述：根据年初设定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的绩效目标，项目自评得分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97.16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分。全年预算</w:t>
      </w:r>
      <w:r>
        <w:rPr>
          <w:rFonts w:ascii="FangSong" w:hAnsi="FangSong" w:eastAsia="FangSong" w:cs="FangSong"/>
          <w:sz w:val="31"/>
          <w:szCs w:val="31"/>
          <w:spacing w:val="7"/>
        </w:rPr>
        <w:t>数为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42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万元，执行数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为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34.29</w:t>
      </w:r>
      <w:r>
        <w:rPr>
          <w:rFonts w:ascii="Times New Roman" w:hAnsi="Times New Roman" w:eastAsia="Times New Roman" w:cs="Times New Roman"/>
          <w:sz w:val="31"/>
          <w:szCs w:val="31"/>
          <w:spacing w:val="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81.64%</w:t>
      </w:r>
      <w:r>
        <w:rPr>
          <w:rFonts w:ascii="FangSong" w:hAnsi="FangSong" w:eastAsia="FangSong" w:cs="FangSong"/>
          <w:sz w:val="31"/>
          <w:szCs w:val="31"/>
          <w:spacing w:val="11"/>
        </w:rPr>
        <w:t>：其中</w:t>
      </w:r>
      <w:r>
        <w:rPr>
          <w:rFonts w:ascii="FangSong" w:hAnsi="FangSong" w:eastAsia="FangSong" w:cs="FangSong"/>
          <w:sz w:val="31"/>
          <w:szCs w:val="31"/>
          <w:spacing w:val="10"/>
        </w:rPr>
        <w:t>社会保障和就业支出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17.01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万元，卫生和健康支出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6</w:t>
      </w:r>
      <w:r>
        <w:rPr>
          <w:rFonts w:ascii="Times New Roman" w:hAnsi="Times New Roman" w:eastAsia="Times New Roman" w:cs="Times New Roman"/>
          <w:sz w:val="31"/>
          <w:szCs w:val="31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万元，住房保障支出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11.28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万元，全部用于在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职员工的社会保障金缴纳。我单位缴纳保险人数为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人，按时为职工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缴纳保险，确保职工保险平稳运行。发现的主要问题及原因：</w:t>
      </w:r>
      <w:r>
        <w:rPr>
          <w:rFonts w:ascii="FangSong" w:hAnsi="FangSong" w:eastAsia="FangSong" w:cs="FangSong"/>
          <w:sz w:val="31"/>
          <w:szCs w:val="31"/>
          <w:spacing w:val="13"/>
        </w:rPr>
        <w:t>项目立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项、实施、资金管理使用存在问题。下一步改进措施：严格落</w:t>
      </w:r>
      <w:r>
        <w:rPr>
          <w:rFonts w:ascii="FangSong" w:hAnsi="FangSong" w:eastAsia="FangSong" w:cs="FangSong"/>
          <w:sz w:val="31"/>
          <w:szCs w:val="31"/>
          <w:spacing w:val="13"/>
        </w:rPr>
        <w:t>实预算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法及绩效管理工作的有关规定，通过开展部门整体支出绩效评</w:t>
      </w:r>
      <w:r>
        <w:rPr>
          <w:rFonts w:ascii="FangSong" w:hAnsi="FangSong" w:eastAsia="FangSong" w:cs="FangSong"/>
          <w:sz w:val="31"/>
          <w:szCs w:val="31"/>
          <w:spacing w:val="13"/>
        </w:rPr>
        <w:t>价，促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进部门整体预算绩效管理工作水平的提升，强化部门支出责任</w:t>
      </w:r>
      <w:r>
        <w:rPr>
          <w:rFonts w:ascii="FangSong" w:hAnsi="FangSong" w:eastAsia="FangSong" w:cs="FangSong"/>
          <w:sz w:val="31"/>
          <w:szCs w:val="31"/>
          <w:spacing w:val="13"/>
        </w:rPr>
        <w:t>，规范</w:t>
      </w:r>
    </w:p>
    <w:p>
      <w:pPr>
        <w:spacing w:line="368" w:lineRule="auto"/>
        <w:sectPr>
          <w:footerReference w:type="default" r:id="rId18"/>
          <w:pgSz w:w="11906" w:h="16839"/>
          <w:pgMar w:top="1431" w:right="998" w:bottom="1091" w:left="1102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32" w:right="185" w:firstLine="17"/>
        <w:spacing w:before="16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资金管理行为，提高财政资金使用效益，保障部门更好的履行职责，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促进政务服务事业的发展。</w:t>
      </w:r>
    </w:p>
    <w:p>
      <w:pPr>
        <w:spacing w:line="139" w:lineRule="exact"/>
        <w:rPr/>
      </w:pPr>
      <w:r/>
    </w:p>
    <w:tbl>
      <w:tblPr>
        <w:tblStyle w:val="TableNormal"/>
        <w:tblW w:w="996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72"/>
        <w:gridCol w:w="869"/>
        <w:gridCol w:w="867"/>
        <w:gridCol w:w="804"/>
        <w:gridCol w:w="804"/>
        <w:gridCol w:w="808"/>
        <w:gridCol w:w="806"/>
        <w:gridCol w:w="804"/>
        <w:gridCol w:w="810"/>
        <w:gridCol w:w="805"/>
        <w:gridCol w:w="834"/>
        <w:gridCol w:w="877"/>
      </w:tblGrid>
      <w:tr>
        <w:trPr>
          <w:trHeight w:val="1257" w:hRule="atLeast"/>
        </w:trPr>
        <w:tc>
          <w:tcPr>
            <w:tcW w:w="9960" w:type="dxa"/>
            <w:vAlign w:val="top"/>
            <w:gridSpan w:val="12"/>
          </w:tcPr>
          <w:p>
            <w:pPr>
              <w:pStyle w:val="TableText"/>
              <w:ind w:left="3191"/>
              <w:spacing w:before="116" w:line="221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  <w:b/>
                <w:bCs/>
                <w:spacing w:val="-6"/>
              </w:rPr>
              <w:t>项目支出绩效自评表</w:t>
            </w:r>
          </w:p>
          <w:p>
            <w:pPr>
              <w:pStyle w:val="TableText"/>
              <w:ind w:left="3906"/>
              <w:spacing w:before="145" w:line="22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  <w:b/>
                <w:bCs/>
                <w:spacing w:val="-17"/>
              </w:rPr>
              <w:t>(2023</w:t>
            </w:r>
            <w:r>
              <w:rPr>
                <w:sz w:val="40"/>
                <w:szCs w:val="40"/>
                <w:spacing w:val="-75"/>
              </w:rPr>
              <w:t xml:space="preserve"> </w:t>
            </w:r>
            <w:r>
              <w:rPr>
                <w:sz w:val="40"/>
                <w:szCs w:val="40"/>
                <w:b/>
                <w:bCs/>
                <w:spacing w:val="-17"/>
              </w:rPr>
              <w:t>年度）</w:t>
            </w:r>
          </w:p>
        </w:tc>
      </w:tr>
      <w:tr>
        <w:trPr>
          <w:trHeight w:val="385" w:hRule="atLeast"/>
        </w:trPr>
        <w:tc>
          <w:tcPr>
            <w:tcW w:w="1741" w:type="dxa"/>
            <w:vAlign w:val="top"/>
            <w:gridSpan w:val="2"/>
          </w:tcPr>
          <w:p>
            <w:pPr>
              <w:pStyle w:val="TableText"/>
              <w:ind w:left="918"/>
              <w:spacing w:before="103" w:line="220" w:lineRule="auto"/>
              <w:rPr/>
            </w:pPr>
            <w:r>
              <w:rPr>
                <w:spacing w:val="-3"/>
              </w:rPr>
              <w:t>项目名称</w:t>
            </w:r>
          </w:p>
        </w:tc>
        <w:tc>
          <w:tcPr>
            <w:tcW w:w="8219" w:type="dxa"/>
            <w:vAlign w:val="top"/>
            <w:gridSpan w:val="10"/>
          </w:tcPr>
          <w:p>
            <w:pPr>
              <w:pStyle w:val="TableText"/>
              <w:ind w:left="111"/>
              <w:spacing w:before="103" w:line="219" w:lineRule="auto"/>
              <w:rPr/>
            </w:pPr>
            <w:r>
              <w:rPr>
                <w:spacing w:val="-1"/>
              </w:rPr>
              <w:t>财政拨款医疗、养老、公积金经费</w:t>
            </w:r>
          </w:p>
        </w:tc>
      </w:tr>
      <w:tr>
        <w:trPr>
          <w:trHeight w:val="385" w:hRule="atLeast"/>
        </w:trPr>
        <w:tc>
          <w:tcPr>
            <w:tcW w:w="1741" w:type="dxa"/>
            <w:vAlign w:val="top"/>
            <w:gridSpan w:val="2"/>
          </w:tcPr>
          <w:p>
            <w:pPr>
              <w:pStyle w:val="TableText"/>
              <w:ind w:left="917"/>
              <w:spacing w:before="102" w:line="219" w:lineRule="auto"/>
              <w:rPr/>
            </w:pPr>
            <w:r>
              <w:rPr>
                <w:spacing w:val="-3"/>
              </w:rPr>
              <w:t>主管部门</w:t>
            </w:r>
          </w:p>
        </w:tc>
        <w:tc>
          <w:tcPr>
            <w:tcW w:w="3283" w:type="dxa"/>
            <w:vAlign w:val="top"/>
            <w:gridSpan w:val="4"/>
          </w:tcPr>
          <w:p>
            <w:pPr>
              <w:pStyle w:val="TableText"/>
              <w:ind w:left="110"/>
              <w:spacing w:before="101" w:line="219" w:lineRule="auto"/>
              <w:rPr/>
            </w:pPr>
            <w:r>
              <w:rPr>
                <w:spacing w:val="-1"/>
              </w:rPr>
              <w:t>鄂尔多斯市总工会（部门）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792"/>
              <w:spacing w:before="102" w:line="220" w:lineRule="auto"/>
              <w:rPr/>
            </w:pPr>
            <w:r>
              <w:rPr>
                <w:spacing w:val="-3"/>
              </w:rPr>
              <w:t>实施单位</w:t>
            </w:r>
          </w:p>
        </w:tc>
        <w:tc>
          <w:tcPr>
            <w:tcW w:w="3326" w:type="dxa"/>
            <w:vAlign w:val="top"/>
            <w:gridSpan w:val="4"/>
          </w:tcPr>
          <w:p>
            <w:pPr>
              <w:pStyle w:val="TableText"/>
              <w:ind w:left="113"/>
              <w:spacing w:before="101" w:line="219" w:lineRule="auto"/>
              <w:rPr/>
            </w:pPr>
            <w:r>
              <w:rPr>
                <w:spacing w:val="-1"/>
              </w:rPr>
              <w:t>鄂尔多斯市总工会职工服务中心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 w:right="508" w:hanging="6"/>
              <w:spacing w:before="59" w:line="307" w:lineRule="auto"/>
              <w:rPr/>
            </w:pPr>
            <w:r>
              <w:rPr>
                <w:spacing w:val="-3"/>
              </w:rPr>
              <w:t>项目资金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（万元）</w:t>
            </w:r>
          </w:p>
        </w:tc>
        <w:tc>
          <w:tcPr>
            <w:tcW w:w="8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4" w:type="dxa"/>
            <w:vAlign w:val="top"/>
          </w:tcPr>
          <w:p>
            <w:pPr>
              <w:pStyle w:val="TableText"/>
              <w:ind w:left="228" w:right="129" w:hanging="91"/>
              <w:spacing w:before="67" w:line="283" w:lineRule="auto"/>
              <w:rPr/>
            </w:pPr>
            <w:r>
              <w:rPr>
                <w:spacing w:val="-3"/>
              </w:rPr>
              <w:t>年初预</w:t>
            </w:r>
            <w:r>
              <w:rPr/>
              <w:t xml:space="preserve"> </w:t>
            </w:r>
            <w:r>
              <w:rPr>
                <w:spacing w:val="-5"/>
              </w:rPr>
              <w:t>算数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359"/>
              <w:spacing w:before="223" w:line="219" w:lineRule="auto"/>
              <w:rPr/>
            </w:pPr>
            <w:r>
              <w:rPr>
                <w:spacing w:val="-2"/>
              </w:rPr>
              <w:t>全年预算数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360"/>
              <w:spacing w:before="223" w:line="219" w:lineRule="auto"/>
              <w:rPr/>
            </w:pPr>
            <w:r>
              <w:rPr>
                <w:spacing w:val="-2"/>
              </w:rPr>
              <w:t>全年执行数</w:t>
            </w:r>
          </w:p>
        </w:tc>
        <w:tc>
          <w:tcPr>
            <w:tcW w:w="810" w:type="dxa"/>
            <w:vAlign w:val="top"/>
          </w:tcPr>
          <w:p>
            <w:pPr>
              <w:pStyle w:val="TableText"/>
              <w:ind w:left="231"/>
              <w:spacing w:before="223" w:line="219" w:lineRule="auto"/>
              <w:rPr/>
            </w:pPr>
            <w:r>
              <w:rPr>
                <w:spacing w:val="-5"/>
              </w:rPr>
              <w:t>分值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331"/>
              <w:spacing w:before="223" w:line="219" w:lineRule="auto"/>
              <w:rPr/>
            </w:pPr>
            <w:r>
              <w:rPr>
                <w:spacing w:val="-2"/>
              </w:rPr>
              <w:t>执行率（%）</w:t>
            </w:r>
          </w:p>
        </w:tc>
        <w:tc>
          <w:tcPr>
            <w:tcW w:w="877" w:type="dxa"/>
            <w:vAlign w:val="top"/>
          </w:tcPr>
          <w:p>
            <w:pPr>
              <w:pStyle w:val="TableText"/>
              <w:ind w:left="262"/>
              <w:spacing w:before="223" w:line="219" w:lineRule="auto"/>
              <w:rPr/>
            </w:pPr>
            <w:r>
              <w:rPr>
                <w:spacing w:val="-4"/>
              </w:rPr>
              <w:t>得分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169" w:right="160"/>
              <w:spacing w:before="69" w:line="282" w:lineRule="auto"/>
              <w:rPr/>
            </w:pPr>
            <w:r>
              <w:rPr>
                <w:spacing w:val="-3"/>
              </w:rPr>
              <w:t>年度资</w:t>
            </w:r>
            <w:r>
              <w:rPr/>
              <w:t xml:space="preserve"> </w:t>
            </w:r>
            <w:r>
              <w:rPr>
                <w:spacing w:val="-3"/>
              </w:rPr>
              <w:t>金总额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11"/>
              <w:spacing w:before="253" w:line="183" w:lineRule="auto"/>
              <w:rPr/>
            </w:pPr>
            <w:r>
              <w:rPr>
                <w:spacing w:val="-2"/>
              </w:rPr>
              <w:t>42.00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584"/>
              <w:spacing w:before="253" w:line="183" w:lineRule="auto"/>
              <w:rPr/>
            </w:pPr>
            <w:r>
              <w:rPr>
                <w:spacing w:val="-2"/>
              </w:rPr>
              <w:t>42.00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587"/>
              <w:spacing w:before="253" w:line="183" w:lineRule="auto"/>
              <w:rPr/>
            </w:pPr>
            <w:r>
              <w:rPr>
                <w:spacing w:val="-2"/>
              </w:rPr>
              <w:t>34.29</w:t>
            </w:r>
          </w:p>
        </w:tc>
        <w:tc>
          <w:tcPr>
            <w:tcW w:w="810" w:type="dxa"/>
            <w:vAlign w:val="top"/>
          </w:tcPr>
          <w:p>
            <w:pPr>
              <w:pStyle w:val="TableText"/>
              <w:ind w:left="333"/>
              <w:spacing w:before="252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600"/>
              <w:spacing w:before="252" w:line="184" w:lineRule="auto"/>
              <w:rPr/>
            </w:pPr>
            <w:r>
              <w:rPr>
                <w:spacing w:val="-2"/>
              </w:rPr>
              <w:t>81.64</w:t>
            </w:r>
          </w:p>
        </w:tc>
        <w:tc>
          <w:tcPr>
            <w:tcW w:w="877" w:type="dxa"/>
            <w:vAlign w:val="top"/>
          </w:tcPr>
          <w:p>
            <w:pPr>
              <w:pStyle w:val="TableText"/>
              <w:ind w:left="262"/>
              <w:spacing w:before="252" w:line="184" w:lineRule="auto"/>
              <w:rPr/>
            </w:pPr>
            <w:r>
              <w:rPr>
                <w:spacing w:val="-2"/>
              </w:rPr>
              <w:t>8.16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110" w:right="105" w:firstLine="1"/>
              <w:spacing w:before="69" w:line="282" w:lineRule="auto"/>
              <w:rPr/>
            </w:pPr>
            <w:r>
              <w:rPr>
                <w:spacing w:val="-19"/>
              </w:rPr>
              <w:t>其中：财</w:t>
            </w:r>
            <w:r>
              <w:rPr/>
              <w:t xml:space="preserve"> </w:t>
            </w:r>
            <w:r>
              <w:rPr>
                <w:spacing w:val="-3"/>
              </w:rPr>
              <w:t>政拨款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11"/>
              <w:spacing w:before="253" w:line="183" w:lineRule="auto"/>
              <w:rPr/>
            </w:pPr>
            <w:r>
              <w:rPr>
                <w:spacing w:val="-2"/>
              </w:rPr>
              <w:t>42.00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584"/>
              <w:spacing w:before="253" w:line="183" w:lineRule="auto"/>
              <w:rPr/>
            </w:pPr>
            <w:r>
              <w:rPr>
                <w:spacing w:val="-2"/>
              </w:rPr>
              <w:t>42.00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587"/>
              <w:spacing w:before="253" w:line="183" w:lineRule="auto"/>
              <w:rPr/>
            </w:pPr>
            <w:r>
              <w:rPr>
                <w:spacing w:val="-2"/>
              </w:rPr>
              <w:t>34.29</w:t>
            </w:r>
          </w:p>
        </w:tc>
        <w:tc>
          <w:tcPr>
            <w:tcW w:w="81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52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600"/>
              <w:spacing w:before="252" w:line="184" w:lineRule="auto"/>
              <w:rPr/>
            </w:pPr>
            <w:r>
              <w:rPr>
                <w:spacing w:val="-2"/>
              </w:rPr>
              <w:t>81.64</w:t>
            </w:r>
          </w:p>
        </w:tc>
        <w:tc>
          <w:tcPr>
            <w:tcW w:w="877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44"/>
              <w:spacing w:before="52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169" w:right="160"/>
              <w:spacing w:before="69" w:line="282" w:lineRule="auto"/>
              <w:rPr/>
            </w:pPr>
            <w:r>
              <w:rPr>
                <w:spacing w:val="-3"/>
              </w:rPr>
              <w:t>上年结</w:t>
            </w:r>
            <w:r>
              <w:rPr/>
              <w:t xml:space="preserve"> </w:t>
            </w:r>
            <w:r>
              <w:rPr>
                <w:spacing w:val="-3"/>
              </w:rPr>
              <w:t>转资金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14"/>
              <w:spacing w:before="253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766"/>
              <w:spacing w:before="253" w:line="183" w:lineRule="auto"/>
              <w:rPr/>
            </w:pPr>
            <w:r>
              <w:rPr/>
              <w:t>0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630"/>
              <w:spacing w:before="253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81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52" w:line="9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781"/>
              <w:spacing w:before="253" w:line="183" w:lineRule="auto"/>
              <w:rPr/>
            </w:pPr>
            <w:r>
              <w:rPr/>
              <w:t>0</w:t>
            </w:r>
          </w:p>
        </w:tc>
        <w:tc>
          <w:tcPr>
            <w:tcW w:w="877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44"/>
              <w:spacing w:before="52" w:line="9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349" w:right="160" w:hanging="180"/>
              <w:spacing w:before="69" w:line="282" w:lineRule="auto"/>
              <w:rPr/>
            </w:pPr>
            <w:r>
              <w:rPr>
                <w:spacing w:val="-3"/>
              </w:rPr>
              <w:t>其他资</w:t>
            </w:r>
            <w:r>
              <w:rPr/>
              <w:t xml:space="preserve"> </w:t>
            </w:r>
            <w:r>
              <w:rPr/>
              <w:t>金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14"/>
              <w:spacing w:before="252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766"/>
              <w:spacing w:before="252" w:line="183" w:lineRule="auto"/>
              <w:rPr/>
            </w:pPr>
            <w:r>
              <w:rPr/>
              <w:t>0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630"/>
              <w:spacing w:before="252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81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51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781"/>
              <w:spacing w:before="252" w:line="183" w:lineRule="auto"/>
              <w:rPr/>
            </w:pPr>
            <w:r>
              <w:rPr/>
              <w:t>0</w:t>
            </w:r>
          </w:p>
        </w:tc>
        <w:tc>
          <w:tcPr>
            <w:tcW w:w="877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44"/>
              <w:spacing w:before="51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385" w:hRule="atLeast"/>
        </w:trPr>
        <w:tc>
          <w:tcPr>
            <w:tcW w:w="174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/>
              <w:spacing w:before="59" w:line="219" w:lineRule="auto"/>
              <w:rPr/>
            </w:pPr>
            <w:r>
              <w:rPr>
                <w:spacing w:val="-2"/>
              </w:rPr>
              <w:t>年度总体目标</w:t>
            </w:r>
          </w:p>
        </w:tc>
        <w:tc>
          <w:tcPr>
            <w:tcW w:w="4089" w:type="dxa"/>
            <w:vAlign w:val="top"/>
            <w:gridSpan w:val="5"/>
          </w:tcPr>
          <w:p>
            <w:pPr>
              <w:pStyle w:val="TableText"/>
              <w:ind w:left="1689"/>
              <w:spacing w:before="101" w:line="220" w:lineRule="auto"/>
              <w:rPr/>
            </w:pPr>
            <w:r>
              <w:rPr>
                <w:spacing w:val="-3"/>
              </w:rPr>
              <w:t>预期目标</w:t>
            </w:r>
          </w:p>
        </w:tc>
        <w:tc>
          <w:tcPr>
            <w:tcW w:w="4130" w:type="dxa"/>
            <w:vAlign w:val="top"/>
            <w:gridSpan w:val="5"/>
          </w:tcPr>
          <w:p>
            <w:pPr>
              <w:pStyle w:val="TableText"/>
              <w:ind w:left="1534"/>
              <w:spacing w:before="101" w:line="219" w:lineRule="auto"/>
              <w:rPr/>
            </w:pPr>
            <w:r>
              <w:rPr>
                <w:spacing w:val="-2"/>
              </w:rPr>
              <w:t>实际完成情况</w:t>
            </w:r>
          </w:p>
        </w:tc>
      </w:tr>
      <w:tr>
        <w:trPr>
          <w:trHeight w:val="1565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9" w:type="dxa"/>
            <w:vAlign w:val="top"/>
            <w:gridSpan w:val="5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5"/>
              <w:spacing w:before="59" w:line="183" w:lineRule="auto"/>
              <w:rPr/>
            </w:pPr>
            <w:r>
              <w:rPr/>
              <w:t>9</w:t>
            </w:r>
          </w:p>
        </w:tc>
        <w:tc>
          <w:tcPr>
            <w:tcW w:w="4130" w:type="dxa"/>
            <w:vAlign w:val="top"/>
            <w:gridSpan w:val="5"/>
          </w:tcPr>
          <w:p>
            <w:pPr>
              <w:pStyle w:val="TableText"/>
              <w:ind w:left="116" w:right="106" w:hanging="1"/>
              <w:spacing w:before="68" w:line="311" w:lineRule="auto"/>
              <w:rPr/>
            </w:pPr>
            <w:r>
              <w:rPr>
                <w:spacing w:val="-2"/>
              </w:rPr>
              <w:t>2023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年鄂尔多斯市总工会职工服务中心预算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42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万</w:t>
            </w:r>
            <w:r>
              <w:rPr/>
              <w:t xml:space="preserve"> </w:t>
            </w:r>
            <w:r>
              <w:rPr>
                <w:spacing w:val="1"/>
              </w:rPr>
              <w:t>元，实际支出为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34.29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万元，完成率为</w:t>
            </w:r>
            <w:r>
              <w:rPr>
                <w:spacing w:val="-37"/>
              </w:rPr>
              <w:t xml:space="preserve"> </w:t>
            </w:r>
            <w:r>
              <w:rPr>
                <w:spacing w:val="1"/>
              </w:rPr>
              <w:t>81.64</w:t>
            </w:r>
            <w:r>
              <w:rPr/>
              <w:t>%。 </w:t>
            </w:r>
            <w:r>
              <w:rPr>
                <w:spacing w:val="-4"/>
              </w:rPr>
              <w:t>具体项目为：社会保障和就业支出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17.01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万元，卫</w:t>
            </w:r>
          </w:p>
          <w:p>
            <w:pPr>
              <w:pStyle w:val="TableText"/>
              <w:ind w:left="115"/>
              <w:spacing w:before="26" w:line="219" w:lineRule="auto"/>
              <w:rPr/>
            </w:pPr>
            <w:r>
              <w:rPr>
                <w:spacing w:val="-3"/>
              </w:rPr>
              <w:t>生和健康支出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6</w:t>
            </w:r>
            <w:r>
              <w:rPr>
                <w:spacing w:val="-32"/>
              </w:rPr>
              <w:t xml:space="preserve"> </w:t>
            </w:r>
            <w:r>
              <w:rPr>
                <w:spacing w:val="-3"/>
              </w:rPr>
              <w:t>万元，住房保障支出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11.28</w:t>
            </w:r>
            <w:r>
              <w:rPr>
                <w:spacing w:val="-32"/>
              </w:rPr>
              <w:t xml:space="preserve"> </w:t>
            </w:r>
            <w:r>
              <w:rPr>
                <w:spacing w:val="-3"/>
              </w:rPr>
              <w:t>万元，</w:t>
            </w:r>
          </w:p>
          <w:p>
            <w:pPr>
              <w:pStyle w:val="TableText"/>
              <w:ind w:left="538"/>
              <w:spacing w:before="97" w:line="219" w:lineRule="auto"/>
              <w:rPr/>
            </w:pPr>
            <w:r>
              <w:rPr>
                <w:spacing w:val="-1"/>
              </w:rPr>
              <w:t>全部用于在职员工的社会保障金缴纳。</w:t>
            </w:r>
          </w:p>
        </w:tc>
      </w:tr>
      <w:tr>
        <w:trPr>
          <w:trHeight w:val="1253" w:hRule="atLeast"/>
        </w:trPr>
        <w:tc>
          <w:tcPr>
            <w:tcW w:w="872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1" w:right="162" w:hanging="177"/>
              <w:spacing w:before="58" w:line="307" w:lineRule="auto"/>
              <w:rPr/>
            </w:pPr>
            <w:r>
              <w:rPr>
                <w:spacing w:val="-4"/>
              </w:rPr>
              <w:t>绩效指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69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2" w:hanging="177"/>
              <w:spacing w:before="58" w:line="307" w:lineRule="auto"/>
              <w:rPr/>
            </w:pPr>
            <w:r>
              <w:rPr>
                <w:spacing w:val="-4"/>
              </w:rPr>
              <w:t>一级指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6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0" w:hanging="177"/>
              <w:spacing w:before="58" w:line="307" w:lineRule="auto"/>
              <w:rPr/>
            </w:pPr>
            <w:r>
              <w:rPr>
                <w:spacing w:val="-4"/>
              </w:rPr>
              <w:t>二级指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129" w:hanging="180"/>
              <w:spacing w:before="58" w:line="307" w:lineRule="auto"/>
              <w:rPr/>
            </w:pPr>
            <w:r>
              <w:rPr>
                <w:spacing w:val="-3"/>
              </w:rPr>
              <w:t>三级指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129" w:hanging="178"/>
              <w:spacing w:before="58" w:line="307" w:lineRule="auto"/>
              <w:rPr/>
            </w:pPr>
            <w:r>
              <w:rPr>
                <w:spacing w:val="-4"/>
              </w:rPr>
              <w:t>指标性</w:t>
            </w:r>
            <w:r>
              <w:rPr>
                <w:spacing w:val="1"/>
              </w:rPr>
              <w:t xml:space="preserve"> </w:t>
            </w:r>
            <w:r>
              <w:rPr/>
              <w:t>质</w:t>
            </w:r>
          </w:p>
        </w:tc>
        <w:tc>
          <w:tcPr>
            <w:tcW w:w="80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 w:right="131" w:hanging="196"/>
              <w:spacing w:before="59" w:line="307" w:lineRule="auto"/>
              <w:rPr/>
            </w:pPr>
            <w:r>
              <w:rPr>
                <w:spacing w:val="-4"/>
              </w:rPr>
              <w:t>指标方</w:t>
            </w:r>
            <w:r>
              <w:rPr>
                <w:spacing w:val="1"/>
              </w:rPr>
              <w:t xml:space="preserve"> </w:t>
            </w:r>
            <w:r>
              <w:rPr/>
              <w:t>向</w:t>
            </w:r>
          </w:p>
        </w:tc>
        <w:tc>
          <w:tcPr>
            <w:tcW w:w="80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 w:right="130" w:hanging="91"/>
              <w:spacing w:before="59" w:line="307" w:lineRule="auto"/>
              <w:rPr/>
            </w:pPr>
            <w:r>
              <w:rPr>
                <w:spacing w:val="-3"/>
              </w:rPr>
              <w:t>年度指</w:t>
            </w:r>
            <w:r>
              <w:rPr/>
              <w:t xml:space="preserve"> </w:t>
            </w:r>
            <w:r>
              <w:rPr>
                <w:spacing w:val="-4"/>
              </w:rPr>
              <w:t>标值</w:t>
            </w:r>
          </w:p>
        </w:tc>
        <w:tc>
          <w:tcPr>
            <w:tcW w:w="80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 w:right="128" w:hanging="85"/>
              <w:spacing w:before="59" w:line="307" w:lineRule="auto"/>
              <w:rPr/>
            </w:pPr>
            <w:r>
              <w:rPr>
                <w:spacing w:val="-4"/>
              </w:rPr>
              <w:t>实际完</w:t>
            </w:r>
            <w:r>
              <w:rPr/>
              <w:t xml:space="preserve"> </w:t>
            </w:r>
            <w:r>
              <w:rPr>
                <w:spacing w:val="-5"/>
              </w:rPr>
              <w:t>成值</w:t>
            </w:r>
          </w:p>
        </w:tc>
        <w:tc>
          <w:tcPr>
            <w:tcW w:w="81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 w:right="131" w:hanging="180"/>
              <w:spacing w:before="59" w:line="307" w:lineRule="auto"/>
              <w:rPr/>
            </w:pPr>
            <w:r>
              <w:rPr>
                <w:spacing w:val="-3"/>
              </w:rPr>
              <w:t>计量单</w:t>
            </w:r>
            <w:r>
              <w:rPr/>
              <w:t xml:space="preserve"> </w:t>
            </w:r>
            <w:r>
              <w:rPr/>
              <w:t>位</w:t>
            </w:r>
          </w:p>
        </w:tc>
        <w:tc>
          <w:tcPr>
            <w:tcW w:w="805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58" w:line="219" w:lineRule="auto"/>
              <w:rPr/>
            </w:pPr>
            <w:r>
              <w:rPr>
                <w:spacing w:val="-5"/>
              </w:rPr>
              <w:t>分值</w:t>
            </w:r>
          </w:p>
        </w:tc>
        <w:tc>
          <w:tcPr>
            <w:tcW w:w="834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/>
              <w:spacing w:before="58" w:line="219" w:lineRule="auto"/>
              <w:rPr/>
            </w:pPr>
            <w:r>
              <w:rPr>
                <w:spacing w:val="-4"/>
              </w:rPr>
              <w:t>得分</w:t>
            </w:r>
          </w:p>
        </w:tc>
        <w:tc>
          <w:tcPr>
            <w:tcW w:w="877" w:type="dxa"/>
            <w:vAlign w:val="top"/>
          </w:tcPr>
          <w:p>
            <w:pPr>
              <w:pStyle w:val="TableText"/>
              <w:ind w:left="114" w:right="223"/>
              <w:spacing w:before="69" w:line="301" w:lineRule="auto"/>
              <w:jc w:val="both"/>
              <w:rPr/>
            </w:pPr>
            <w:r>
              <w:rPr>
                <w:spacing w:val="-3"/>
              </w:rPr>
              <w:t>偏差原</w:t>
            </w:r>
            <w:r>
              <w:rPr/>
              <w:t xml:space="preserve"> </w:t>
            </w:r>
            <w:r>
              <w:rPr>
                <w:spacing w:val="-3"/>
              </w:rPr>
              <w:t>因分析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及改进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措施</w:t>
            </w:r>
          </w:p>
        </w:tc>
      </w:tr>
      <w:tr>
        <w:trPr>
          <w:trHeight w:val="941" w:hRule="atLeast"/>
        </w:trPr>
        <w:tc>
          <w:tcPr>
            <w:tcW w:w="87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1" w:right="162" w:hanging="177"/>
              <w:spacing w:before="59" w:line="307" w:lineRule="auto"/>
              <w:rPr/>
            </w:pPr>
            <w:r>
              <w:rPr>
                <w:spacing w:val="-4"/>
              </w:rPr>
              <w:t>绩效指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6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2" w:hanging="180"/>
              <w:spacing w:before="59" w:line="307" w:lineRule="auto"/>
              <w:rPr/>
            </w:pPr>
            <w:r>
              <w:rPr>
                <w:spacing w:val="-3"/>
              </w:rPr>
              <w:t>产出指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67" w:type="dxa"/>
            <w:vAlign w:val="top"/>
          </w:tcPr>
          <w:p>
            <w:pPr>
              <w:pStyle w:val="TableText"/>
              <w:ind w:left="348" w:right="160" w:hanging="179"/>
              <w:spacing w:before="224" w:line="307" w:lineRule="auto"/>
              <w:rPr/>
            </w:pPr>
            <w:r>
              <w:rPr>
                <w:spacing w:val="-3"/>
              </w:rPr>
              <w:t>数量指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7"/>
              <w:spacing w:before="68" w:line="219" w:lineRule="auto"/>
              <w:rPr/>
            </w:pPr>
            <w:r>
              <w:rPr>
                <w:spacing w:val="-3"/>
              </w:rPr>
              <w:t>保险等</w:t>
            </w:r>
          </w:p>
          <w:p>
            <w:pPr>
              <w:pStyle w:val="TableText"/>
              <w:ind w:left="135"/>
              <w:spacing w:before="98" w:line="219" w:lineRule="auto"/>
              <w:rPr/>
            </w:pPr>
            <w:r>
              <w:rPr>
                <w:spacing w:val="-2"/>
              </w:rPr>
              <w:t>缴纳人</w:t>
            </w:r>
          </w:p>
          <w:p>
            <w:pPr>
              <w:pStyle w:val="TableText"/>
              <w:ind w:left="318"/>
              <w:spacing w:before="98" w:line="219" w:lineRule="auto"/>
              <w:rPr/>
            </w:pPr>
            <w:r>
              <w:rPr/>
              <w:t>数</w:t>
            </w:r>
          </w:p>
        </w:tc>
        <w:tc>
          <w:tcPr>
            <w:tcW w:w="80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8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pStyle w:val="TableText"/>
              <w:ind w:left="321" w:right="131" w:hanging="180"/>
              <w:spacing w:before="223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04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1"/>
              <w:spacing w:before="58" w:line="183" w:lineRule="auto"/>
              <w:rPr/>
            </w:pPr>
            <w:r>
              <w:rPr/>
              <w:t>9</w:t>
            </w:r>
          </w:p>
        </w:tc>
        <w:tc>
          <w:tcPr>
            <w:tcW w:w="81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/>
              <w:spacing w:before="59" w:line="222" w:lineRule="auto"/>
              <w:rPr/>
            </w:pPr>
            <w:r>
              <w:rPr/>
              <w:t>人</w:t>
            </w:r>
          </w:p>
        </w:tc>
        <w:tc>
          <w:tcPr>
            <w:tcW w:w="80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34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8"/>
              <w:spacing w:before="58" w:line="183" w:lineRule="auto"/>
              <w:rPr/>
            </w:pPr>
            <w:r>
              <w:rPr/>
              <w:t>9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1" w:hRule="atLeast"/>
        </w:trPr>
        <w:tc>
          <w:tcPr>
            <w:tcW w:w="8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349" w:right="160" w:hanging="180"/>
              <w:spacing w:before="223" w:line="307" w:lineRule="auto"/>
              <w:rPr/>
            </w:pPr>
            <w:r>
              <w:rPr>
                <w:spacing w:val="-3"/>
              </w:rPr>
              <w:t>质量指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7"/>
              <w:spacing w:before="68" w:line="219" w:lineRule="auto"/>
              <w:rPr/>
            </w:pPr>
            <w:r>
              <w:rPr>
                <w:spacing w:val="-3"/>
              </w:rPr>
              <w:t>保险等</w:t>
            </w:r>
          </w:p>
          <w:p>
            <w:pPr>
              <w:pStyle w:val="TableText"/>
              <w:ind w:left="135"/>
              <w:spacing w:before="98" w:line="219" w:lineRule="auto"/>
              <w:rPr/>
            </w:pPr>
            <w:r>
              <w:rPr>
                <w:spacing w:val="-2"/>
              </w:rPr>
              <w:t>缴纳保</w:t>
            </w:r>
          </w:p>
          <w:p>
            <w:pPr>
              <w:pStyle w:val="TableText"/>
              <w:ind w:left="236"/>
              <w:spacing w:before="98" w:line="219" w:lineRule="auto"/>
              <w:rPr/>
            </w:pPr>
            <w:r>
              <w:rPr>
                <w:spacing w:val="-9"/>
              </w:rPr>
              <w:t>障率</w:t>
            </w:r>
          </w:p>
        </w:tc>
        <w:tc>
          <w:tcPr>
            <w:tcW w:w="80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8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pStyle w:val="TableText"/>
              <w:ind w:left="321" w:right="131" w:hanging="180"/>
              <w:spacing w:before="224" w:line="308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1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9" w:line="183" w:lineRule="auto"/>
              <w:rPr/>
            </w:pPr>
            <w:r>
              <w:rPr>
                <w:spacing w:val="-4"/>
              </w:rPr>
              <w:t>20</w:t>
            </w:r>
          </w:p>
        </w:tc>
        <w:tc>
          <w:tcPr>
            <w:tcW w:w="83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4"/>
              <w:spacing w:before="59" w:line="183" w:lineRule="auto"/>
              <w:rPr/>
            </w:pPr>
            <w:r>
              <w:rPr>
                <w:spacing w:val="-4"/>
              </w:rPr>
              <w:t>20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3" w:hRule="atLeast"/>
        </w:trPr>
        <w:tc>
          <w:tcPr>
            <w:tcW w:w="8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0" w:hanging="172"/>
              <w:spacing w:before="58" w:line="307" w:lineRule="auto"/>
              <w:rPr/>
            </w:pPr>
            <w:r>
              <w:rPr>
                <w:spacing w:val="-6"/>
              </w:rPr>
              <w:t>时效指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5"/>
              <w:spacing w:before="67" w:line="219" w:lineRule="auto"/>
              <w:rPr/>
            </w:pPr>
            <w:r>
              <w:rPr>
                <w:spacing w:val="-3"/>
              </w:rPr>
              <w:t>及时缴</w:t>
            </w:r>
          </w:p>
          <w:p>
            <w:pPr>
              <w:pStyle w:val="TableText"/>
              <w:ind w:left="138"/>
              <w:spacing w:before="97" w:line="221" w:lineRule="auto"/>
              <w:rPr/>
            </w:pPr>
            <w:r>
              <w:rPr>
                <w:spacing w:val="-3"/>
              </w:rPr>
              <w:t>纳职工</w:t>
            </w:r>
          </w:p>
          <w:p>
            <w:pPr>
              <w:pStyle w:val="TableText"/>
              <w:ind w:left="138"/>
              <w:spacing w:before="96" w:line="220" w:lineRule="auto"/>
              <w:rPr/>
            </w:pPr>
            <w:r>
              <w:rPr>
                <w:spacing w:val="-4"/>
              </w:rPr>
              <w:t>各项保</w:t>
            </w:r>
          </w:p>
          <w:p>
            <w:pPr>
              <w:pStyle w:val="TableText"/>
              <w:ind w:left="326"/>
              <w:spacing w:before="97" w:line="220" w:lineRule="auto"/>
              <w:rPr/>
            </w:pPr>
            <w:r>
              <w:rPr/>
              <w:t>险</w:t>
            </w:r>
          </w:p>
        </w:tc>
        <w:tc>
          <w:tcPr>
            <w:tcW w:w="804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 w:right="131" w:hanging="180"/>
              <w:spacing w:before="59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8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8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10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3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8" w:hRule="atLeast"/>
        </w:trPr>
        <w:tc>
          <w:tcPr>
            <w:tcW w:w="8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  <w:tcBorders>
              <w:bottom w:val="nil"/>
            </w:tcBorders>
          </w:tcPr>
          <w:p>
            <w:pPr>
              <w:pStyle w:val="TableText"/>
              <w:ind w:left="348" w:right="160" w:hanging="179"/>
              <w:spacing w:before="177" w:line="307" w:lineRule="auto"/>
              <w:rPr/>
            </w:pPr>
            <w:r>
              <w:rPr>
                <w:spacing w:val="-3"/>
              </w:rPr>
              <w:t>成本指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  <w:tcBorders>
              <w:bottom w:val="nil"/>
            </w:tcBorders>
          </w:tcPr>
          <w:p>
            <w:pPr>
              <w:pStyle w:val="TableText"/>
              <w:ind w:left="146" w:right="129" w:hanging="8"/>
              <w:spacing w:before="176" w:line="307" w:lineRule="auto"/>
              <w:rPr/>
            </w:pPr>
            <w:r>
              <w:rPr>
                <w:spacing w:val="-3"/>
              </w:rPr>
              <w:t>社会保</w:t>
            </w:r>
            <w:r>
              <w:rPr/>
              <w:t xml:space="preserve"> </w:t>
            </w:r>
            <w:r>
              <w:rPr>
                <w:spacing w:val="-6"/>
              </w:rPr>
              <w:t>险缴纳</w:t>
            </w:r>
          </w:p>
        </w:tc>
        <w:tc>
          <w:tcPr>
            <w:tcW w:w="804" w:type="dxa"/>
            <w:vAlign w:val="top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58" w:line="220" w:lineRule="auto"/>
              <w:rPr/>
            </w:pPr>
            <w:r>
              <w:rPr>
                <w:spacing w:val="-5"/>
              </w:rPr>
              <w:t>大于</w:t>
            </w:r>
          </w:p>
        </w:tc>
        <w:tc>
          <w:tcPr>
            <w:tcW w:w="806" w:type="dxa"/>
            <w:vAlign w:val="top"/>
            <w:tcBorders>
              <w:bottom w:val="nil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4" w:type="dxa"/>
            <w:vAlign w:val="top"/>
            <w:tcBorders>
              <w:bottom w:val="nil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10" w:type="dxa"/>
            <w:vAlign w:val="top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  <w:tcBorders>
              <w:bottom w:val="nil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34" w:type="dxa"/>
            <w:vAlign w:val="top"/>
            <w:tcBorders>
              <w:bottom w:val="nil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77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1906" w:h="16839"/>
          <w:pgMar w:top="1431" w:right="970" w:bottom="1091" w:left="970" w:header="0" w:footer="929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96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72"/>
        <w:gridCol w:w="869"/>
        <w:gridCol w:w="867"/>
        <w:gridCol w:w="804"/>
        <w:gridCol w:w="804"/>
        <w:gridCol w:w="808"/>
        <w:gridCol w:w="806"/>
        <w:gridCol w:w="804"/>
        <w:gridCol w:w="810"/>
        <w:gridCol w:w="805"/>
        <w:gridCol w:w="834"/>
        <w:gridCol w:w="877"/>
      </w:tblGrid>
      <w:tr>
        <w:trPr>
          <w:trHeight w:val="849" w:hRule="atLeast"/>
        </w:trPr>
        <w:tc>
          <w:tcPr>
            <w:tcW w:w="87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4" w:type="dxa"/>
            <w:vAlign w:val="top"/>
          </w:tcPr>
          <w:p>
            <w:pPr>
              <w:pStyle w:val="TableText"/>
              <w:ind w:left="229"/>
              <w:spacing w:before="71" w:line="219" w:lineRule="auto"/>
              <w:rPr/>
            </w:pPr>
            <w:r>
              <w:rPr>
                <w:spacing w:val="-5"/>
              </w:rPr>
              <w:t>成本</w:t>
            </w:r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63" w:hRule="atLeast"/>
        </w:trPr>
        <w:tc>
          <w:tcPr>
            <w:tcW w:w="8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2" w:hanging="176"/>
              <w:spacing w:before="58" w:line="307" w:lineRule="auto"/>
              <w:rPr/>
            </w:pPr>
            <w:r>
              <w:rPr>
                <w:spacing w:val="-4"/>
              </w:rPr>
              <w:t>效益指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67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9" w:right="160" w:hanging="180"/>
              <w:spacing w:before="58" w:line="312" w:lineRule="auto"/>
              <w:rPr/>
            </w:pPr>
            <w:r>
              <w:rPr>
                <w:spacing w:val="-3"/>
              </w:rPr>
              <w:t>社会效</w:t>
            </w:r>
            <w:r>
              <w:rPr/>
              <w:t xml:space="preserve"> </w:t>
            </w:r>
            <w:r>
              <w:rPr/>
              <w:t>益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7" w:right="129"/>
              <w:spacing w:before="66" w:line="305" w:lineRule="auto"/>
              <w:jc w:val="both"/>
              <w:rPr/>
            </w:pPr>
            <w:r>
              <w:rPr>
                <w:spacing w:val="-3"/>
              </w:rPr>
              <w:t>有利于</w:t>
            </w:r>
            <w:r>
              <w:rPr/>
              <w:t xml:space="preserve"> </w:t>
            </w:r>
            <w:r>
              <w:rPr>
                <w:spacing w:val="-3"/>
              </w:rPr>
              <w:t>促进机</w:t>
            </w:r>
            <w:r>
              <w:rPr/>
              <w:t xml:space="preserve"> </w:t>
            </w:r>
            <w:r>
              <w:rPr>
                <w:spacing w:val="-3"/>
              </w:rPr>
              <w:t>关事业</w:t>
            </w:r>
            <w:r>
              <w:rPr/>
              <w:t xml:space="preserve"> </w:t>
            </w:r>
            <w:r>
              <w:rPr>
                <w:spacing w:val="-3"/>
              </w:rPr>
              <w:t>单位深</w:t>
            </w:r>
            <w:r>
              <w:rPr/>
              <w:t xml:space="preserve"> </w:t>
            </w:r>
            <w:r>
              <w:rPr>
                <w:spacing w:val="-3"/>
              </w:rPr>
              <w:t>化改革</w:t>
            </w:r>
          </w:p>
        </w:tc>
        <w:tc>
          <w:tcPr>
            <w:tcW w:w="804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58" w:line="220" w:lineRule="auto"/>
              <w:rPr/>
            </w:pPr>
            <w:r>
              <w:rPr>
                <w:spacing w:val="-5"/>
              </w:rPr>
              <w:t>大于</w:t>
            </w:r>
          </w:p>
        </w:tc>
        <w:tc>
          <w:tcPr>
            <w:tcW w:w="80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8" w:line="183" w:lineRule="auto"/>
              <w:rPr/>
            </w:pPr>
            <w:r>
              <w:rPr>
                <w:spacing w:val="-4"/>
              </w:rPr>
              <w:t>95</w:t>
            </w:r>
          </w:p>
        </w:tc>
        <w:tc>
          <w:tcPr>
            <w:tcW w:w="80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8" w:line="183" w:lineRule="auto"/>
              <w:rPr/>
            </w:pPr>
            <w:r>
              <w:rPr>
                <w:spacing w:val="-4"/>
              </w:rPr>
              <w:t>95</w:t>
            </w:r>
          </w:p>
        </w:tc>
        <w:tc>
          <w:tcPr>
            <w:tcW w:w="81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3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2" w:hRule="atLeast"/>
        </w:trPr>
        <w:tc>
          <w:tcPr>
            <w:tcW w:w="8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6" w:right="160" w:hanging="87"/>
              <w:spacing w:before="58" w:line="308" w:lineRule="auto"/>
              <w:rPr/>
            </w:pPr>
            <w:r>
              <w:rPr>
                <w:spacing w:val="-3"/>
              </w:rPr>
              <w:t>可持续</w:t>
            </w:r>
            <w:r>
              <w:rPr/>
              <w:t xml:space="preserve"> </w:t>
            </w:r>
            <w:r>
              <w:rPr>
                <w:spacing w:val="-4"/>
              </w:rPr>
              <w:t>影响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6" w:right="129"/>
              <w:spacing w:before="71" w:line="300" w:lineRule="auto"/>
              <w:jc w:val="both"/>
              <w:rPr/>
            </w:pPr>
            <w:r>
              <w:rPr>
                <w:spacing w:val="-3"/>
              </w:rPr>
              <w:t>保障职</w:t>
            </w:r>
            <w:r>
              <w:rPr/>
              <w:t xml:space="preserve"> </w:t>
            </w:r>
            <w:r>
              <w:rPr>
                <w:spacing w:val="-3"/>
              </w:rPr>
              <w:t>工保险</w:t>
            </w:r>
            <w:r>
              <w:rPr/>
              <w:t xml:space="preserve"> </w:t>
            </w:r>
            <w:r>
              <w:rPr>
                <w:spacing w:val="-3"/>
              </w:rPr>
              <w:t>正常足</w:t>
            </w:r>
            <w:r>
              <w:rPr/>
              <w:t xml:space="preserve"> </w:t>
            </w:r>
            <w:r>
              <w:rPr>
                <w:spacing w:val="-3"/>
              </w:rPr>
              <w:t>额缴纳</w:t>
            </w:r>
          </w:p>
        </w:tc>
        <w:tc>
          <w:tcPr>
            <w:tcW w:w="804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 w:right="131" w:hanging="180"/>
              <w:spacing w:before="59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8" w:line="183" w:lineRule="auto"/>
              <w:rPr/>
            </w:pPr>
            <w:r>
              <w:rPr>
                <w:spacing w:val="-4"/>
              </w:rPr>
              <w:t>95</w:t>
            </w:r>
          </w:p>
        </w:tc>
        <w:tc>
          <w:tcPr>
            <w:tcW w:w="80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8" w:line="183" w:lineRule="auto"/>
              <w:rPr/>
            </w:pPr>
            <w:r>
              <w:rPr>
                <w:spacing w:val="-4"/>
              </w:rPr>
              <w:t>95</w:t>
            </w:r>
          </w:p>
        </w:tc>
        <w:tc>
          <w:tcPr>
            <w:tcW w:w="810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9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8" w:line="183" w:lineRule="auto"/>
              <w:rPr/>
            </w:pPr>
            <w:r>
              <w:rPr>
                <w:spacing w:val="-4"/>
              </w:rPr>
              <w:t>20</w:t>
            </w:r>
          </w:p>
        </w:tc>
        <w:tc>
          <w:tcPr>
            <w:tcW w:w="8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4"/>
              <w:spacing w:before="58" w:line="183" w:lineRule="auto"/>
              <w:rPr/>
            </w:pPr>
            <w:r>
              <w:rPr>
                <w:spacing w:val="-4"/>
              </w:rPr>
              <w:t>20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2" w:hRule="atLeast"/>
        </w:trPr>
        <w:tc>
          <w:tcPr>
            <w:tcW w:w="8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 w:right="162" w:hanging="90"/>
              <w:spacing w:before="59" w:line="307" w:lineRule="auto"/>
              <w:rPr/>
            </w:pPr>
            <w:r>
              <w:rPr>
                <w:spacing w:val="-3"/>
              </w:rPr>
              <w:t>满意度</w:t>
            </w:r>
            <w:r>
              <w:rPr/>
              <w:t xml:space="preserve"> </w:t>
            </w:r>
            <w:r>
              <w:rPr>
                <w:spacing w:val="-5"/>
              </w:rPr>
              <w:t>指标</w:t>
            </w:r>
          </w:p>
        </w:tc>
        <w:tc>
          <w:tcPr>
            <w:tcW w:w="867" w:type="dxa"/>
            <w:vAlign w:val="top"/>
          </w:tcPr>
          <w:p>
            <w:pPr>
              <w:pStyle w:val="TableText"/>
              <w:ind w:left="168"/>
              <w:spacing w:before="228" w:line="219" w:lineRule="auto"/>
              <w:rPr/>
            </w:pPr>
            <w:r>
              <w:rPr>
                <w:spacing w:val="-3"/>
              </w:rPr>
              <w:t>服务对</w:t>
            </w:r>
          </w:p>
          <w:p>
            <w:pPr>
              <w:pStyle w:val="TableText"/>
              <w:ind w:left="174"/>
              <w:spacing w:before="98" w:line="219" w:lineRule="auto"/>
              <w:rPr/>
            </w:pPr>
            <w:r>
              <w:rPr>
                <w:spacing w:val="-5"/>
              </w:rPr>
              <w:t>象满意</w:t>
            </w:r>
          </w:p>
          <w:p>
            <w:pPr>
              <w:pStyle w:val="TableText"/>
              <w:ind w:left="347"/>
              <w:spacing w:before="98" w:line="220" w:lineRule="auto"/>
              <w:rPr/>
            </w:pPr>
            <w:r>
              <w:rPr/>
              <w:t>度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7"/>
              <w:spacing w:before="72" w:line="219" w:lineRule="auto"/>
              <w:rPr/>
            </w:pPr>
            <w:r>
              <w:rPr>
                <w:spacing w:val="-3"/>
              </w:rPr>
              <w:t>享受社</w:t>
            </w:r>
          </w:p>
          <w:p>
            <w:pPr>
              <w:pStyle w:val="TableText"/>
              <w:ind w:left="135"/>
              <w:spacing w:before="97" w:line="219" w:lineRule="auto"/>
              <w:rPr/>
            </w:pPr>
            <w:r>
              <w:rPr>
                <w:spacing w:val="-3"/>
              </w:rPr>
              <w:t>会保险</w:t>
            </w:r>
          </w:p>
          <w:p>
            <w:pPr>
              <w:pStyle w:val="TableText"/>
              <w:ind w:left="137"/>
              <w:spacing w:before="99" w:line="219" w:lineRule="auto"/>
              <w:rPr/>
            </w:pPr>
            <w:r>
              <w:rPr>
                <w:spacing w:val="-3"/>
              </w:rPr>
              <w:t>职工满</w:t>
            </w:r>
          </w:p>
          <w:p>
            <w:pPr>
              <w:pStyle w:val="TableText"/>
              <w:ind w:left="232"/>
              <w:spacing w:before="98" w:line="220" w:lineRule="auto"/>
              <w:rPr/>
            </w:pPr>
            <w:r>
              <w:rPr>
                <w:spacing w:val="-6"/>
              </w:rPr>
              <w:t>意度</w:t>
            </w:r>
          </w:p>
        </w:tc>
        <w:tc>
          <w:tcPr>
            <w:tcW w:w="804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8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 w:right="131" w:hanging="180"/>
              <w:spacing w:before="59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9" w:line="183" w:lineRule="auto"/>
              <w:rPr/>
            </w:pPr>
            <w:r>
              <w:rPr>
                <w:spacing w:val="-4"/>
              </w:rPr>
              <w:t>99</w:t>
            </w:r>
          </w:p>
        </w:tc>
        <w:tc>
          <w:tcPr>
            <w:tcW w:w="80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9" w:line="183" w:lineRule="auto"/>
              <w:rPr/>
            </w:pPr>
            <w:r>
              <w:rPr>
                <w:spacing w:val="-4"/>
              </w:rPr>
              <w:t>99</w:t>
            </w:r>
          </w:p>
        </w:tc>
        <w:tc>
          <w:tcPr>
            <w:tcW w:w="810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9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3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9" w:hRule="atLeast"/>
        </w:trPr>
        <w:tc>
          <w:tcPr>
            <w:tcW w:w="7444" w:type="dxa"/>
            <w:vAlign w:val="top"/>
            <w:gridSpan w:val="9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3"/>
              <w:spacing w:before="58" w:line="220" w:lineRule="auto"/>
              <w:rPr/>
            </w:pPr>
            <w:r>
              <w:rPr>
                <w:spacing w:val="-6"/>
              </w:rPr>
              <w:t>总分</w:t>
            </w:r>
          </w:p>
        </w:tc>
        <w:tc>
          <w:tcPr>
            <w:tcW w:w="80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34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59" w:line="184" w:lineRule="auto"/>
              <w:rPr/>
            </w:pPr>
            <w:r>
              <w:rPr>
                <w:spacing w:val="-2"/>
              </w:rPr>
              <w:t>97.16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spacing w:line="291" w:lineRule="auto"/>
        <w:rPr/>
      </w:pPr>
      <w:r/>
    </w:p>
    <w:p>
      <w:pPr>
        <w:ind w:left="471"/>
        <w:spacing w:before="100" w:line="229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（三）单位项目绩效评价结果。</w:t>
      </w:r>
    </w:p>
    <w:p>
      <w:pPr>
        <w:pStyle w:val="BodyText"/>
        <w:spacing w:line="377" w:lineRule="auto"/>
        <w:rPr/>
      </w:pPr>
      <w:r/>
    </w:p>
    <w:p>
      <w:pPr>
        <w:ind w:left="775"/>
        <w:spacing w:before="10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本单位本年没有重点绩效评价项目。</w:t>
      </w:r>
    </w:p>
    <w:p>
      <w:pPr>
        <w:pStyle w:val="BodyText"/>
        <w:spacing w:line="300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ind w:left="3776"/>
        <w:spacing w:before="114" w:line="227" w:lineRule="auto"/>
        <w:outlineLvl w:val="0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6"/>
        </w:rPr>
        <w:t>第三部分</w:t>
      </w:r>
      <w:r>
        <w:rPr>
          <w:rFonts w:ascii="SimHei" w:hAnsi="SimHei" w:eastAsia="SimHei" w:cs="SimHei"/>
          <w:sz w:val="35"/>
          <w:szCs w:val="35"/>
          <w:spacing w:val="122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6"/>
        </w:rPr>
        <w:t>名词解释</w:t>
      </w:r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ind w:left="134" w:right="112" w:firstLine="510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一、财政拨款收入：</w:t>
      </w:r>
      <w:r>
        <w:rPr>
          <w:rFonts w:ascii="FangSong" w:hAnsi="FangSong" w:eastAsia="FangSong" w:cs="FangSong"/>
          <w:sz w:val="31"/>
          <w:szCs w:val="31"/>
          <w:spacing w:val="6"/>
        </w:rPr>
        <w:t>从同级财政部门取得的各类财政拨款，包括一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般公共预算财政拨款、政府性基金预算财政拨款、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国有资本经营预算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财政拨款。</w:t>
      </w:r>
    </w:p>
    <w:p>
      <w:pPr>
        <w:ind w:left="134" w:right="114" w:firstLine="488"/>
        <w:spacing w:before="285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二、上级补助收入：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指事业单位从主管部门和上级单位取得的非财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政补助收入。</w:t>
      </w:r>
    </w:p>
    <w:p>
      <w:pPr>
        <w:spacing w:line="356" w:lineRule="auto"/>
        <w:sectPr>
          <w:footerReference w:type="default" r:id="rId20"/>
          <w:pgSz w:w="11906" w:h="16839"/>
          <w:pgMar w:top="1431" w:right="970" w:bottom="1091" w:left="970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0" w:right="105" w:firstLine="487"/>
        <w:spacing w:before="163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三、财政专户管理教育收费：</w:t>
      </w:r>
      <w:r>
        <w:rPr>
          <w:rFonts w:ascii="FangSong" w:hAnsi="FangSong" w:eastAsia="FangSong" w:cs="FangSong"/>
          <w:sz w:val="31"/>
          <w:szCs w:val="31"/>
          <w:spacing w:val="7"/>
        </w:rPr>
        <w:t>指缴入财政专户、</w:t>
      </w:r>
      <w:r>
        <w:rPr>
          <w:rFonts w:ascii="FangSong" w:hAnsi="FangSong" w:eastAsia="FangSong" w:cs="FangSong"/>
          <w:sz w:val="31"/>
          <w:szCs w:val="31"/>
          <w:spacing w:val="6"/>
        </w:rPr>
        <w:t>实行专项管理的高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中以上学费、住宿费、高校委托培养费、函大、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电大、夜大及短训班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培训费等教育收费。</w:t>
      </w:r>
    </w:p>
    <w:p>
      <w:pPr>
        <w:ind w:left="46" w:right="105" w:firstLine="500"/>
        <w:spacing w:before="292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四、事业收入：</w:t>
      </w:r>
      <w:r>
        <w:rPr>
          <w:rFonts w:ascii="FangSong" w:hAnsi="FangSong" w:eastAsia="FangSong" w:cs="FangSong"/>
          <w:sz w:val="31"/>
          <w:szCs w:val="31"/>
          <w:spacing w:val="6"/>
        </w:rPr>
        <w:t>指事业单位开展专业业务活动及其辅助活动取得的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收入。</w:t>
      </w:r>
    </w:p>
    <w:p>
      <w:pPr>
        <w:pStyle w:val="BodyText"/>
        <w:spacing w:line="378" w:lineRule="auto"/>
        <w:rPr/>
      </w:pPr>
      <w:r/>
    </w:p>
    <w:p>
      <w:pPr>
        <w:ind w:left="39" w:right="105" w:firstLine="474"/>
        <w:spacing w:before="10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五、经营收入：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指事业单位在专业业务活动及其辅助活动之外开展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非独立核算经营活动取得的收入。</w:t>
      </w:r>
    </w:p>
    <w:p>
      <w:pPr>
        <w:pStyle w:val="BodyText"/>
        <w:spacing w:line="379" w:lineRule="auto"/>
        <w:rPr/>
      </w:pPr>
      <w:r/>
    </w:p>
    <w:p>
      <w:pPr>
        <w:ind w:left="37" w:right="103" w:firstLine="473"/>
        <w:spacing w:before="10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六、附属单位上缴收入：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指事业单位取得附属独立核算单位按照有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关规定上缴的收入。</w:t>
      </w:r>
    </w:p>
    <w:p>
      <w:pPr>
        <w:pStyle w:val="BodyText"/>
        <w:spacing w:line="377" w:lineRule="auto"/>
        <w:rPr/>
      </w:pPr>
      <w:r/>
    </w:p>
    <w:p>
      <w:pPr>
        <w:ind w:firstLine="515"/>
        <w:spacing w:before="10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12"/>
        </w:rPr>
        <w:t>七、其他收入：</w:t>
      </w:r>
      <w:r>
        <w:rPr>
          <w:rFonts w:ascii="FangSong" w:hAnsi="FangSong" w:eastAsia="FangSong" w:cs="FangSong"/>
          <w:sz w:val="31"/>
          <w:szCs w:val="31"/>
          <w:spacing w:val="-12"/>
        </w:rPr>
        <w:t>取得的除上述“财政拨款收入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”、“上级补助收入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”、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“事业收入</w:t>
      </w:r>
      <w:r>
        <w:rPr>
          <w:rFonts w:ascii="FangSong" w:hAnsi="FangSong" w:eastAsia="FangSong" w:cs="FangSong"/>
          <w:sz w:val="31"/>
          <w:szCs w:val="31"/>
          <w:spacing w:val="-10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”、“经营收入</w:t>
      </w:r>
      <w:r>
        <w:rPr>
          <w:rFonts w:ascii="FangSong" w:hAnsi="FangSong" w:eastAsia="FangSong" w:cs="FangSong"/>
          <w:sz w:val="31"/>
          <w:szCs w:val="31"/>
          <w:spacing w:val="-10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”、</w:t>
      </w:r>
      <w:r>
        <w:rPr>
          <w:rFonts w:ascii="FangSong" w:hAnsi="FangSong" w:eastAsia="FangSong" w:cs="FangSong"/>
          <w:sz w:val="31"/>
          <w:szCs w:val="31"/>
          <w:spacing w:val="-1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“</w:t>
      </w:r>
      <w:r>
        <w:rPr>
          <w:rFonts w:ascii="FangSong" w:hAnsi="FangSong" w:eastAsia="FangSong" w:cs="FangSong"/>
          <w:sz w:val="31"/>
          <w:szCs w:val="31"/>
          <w:spacing w:val="-1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附属单位上缴收入</w:t>
      </w:r>
      <w:r>
        <w:rPr>
          <w:rFonts w:ascii="FangSong" w:hAnsi="FangSong" w:eastAsia="FangSong" w:cs="FangSong"/>
          <w:sz w:val="31"/>
          <w:szCs w:val="31"/>
          <w:spacing w:val="-10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”等以</w:t>
      </w:r>
      <w:r>
        <w:rPr>
          <w:rFonts w:ascii="FangSong" w:hAnsi="FangSong" w:eastAsia="FangSong" w:cs="FangSong"/>
          <w:sz w:val="31"/>
          <w:szCs w:val="31"/>
          <w:spacing w:val="7"/>
        </w:rPr>
        <w:t>外的各项</w:t>
      </w:r>
    </w:p>
    <w:p>
      <w:pPr>
        <w:ind w:left="46"/>
        <w:spacing w:before="243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收入。</w:t>
      </w:r>
    </w:p>
    <w:p>
      <w:pPr>
        <w:pStyle w:val="BodyText"/>
        <w:spacing w:line="375" w:lineRule="auto"/>
        <w:rPr/>
      </w:pPr>
      <w:r/>
    </w:p>
    <w:p>
      <w:pPr>
        <w:ind w:left="37" w:right="102" w:firstLine="470"/>
        <w:spacing w:before="10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八、使用非财政拨款结余和专用结余：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</w:t>
      </w:r>
      <w:r>
        <w:rPr>
          <w:rFonts w:ascii="FangSong" w:hAnsi="FangSong" w:eastAsia="FangSong" w:cs="FangSong"/>
          <w:sz w:val="31"/>
          <w:szCs w:val="31"/>
          <w:spacing w:val="6"/>
        </w:rPr>
        <w:t>单位按照预算管理要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求使用非财政拨款结余和专用结余弥补当年收支差额的数额。</w:t>
      </w:r>
    </w:p>
    <w:p>
      <w:pPr>
        <w:ind w:left="30" w:right="127" w:firstLine="490"/>
        <w:spacing w:before="295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九、年初结转和结余：</w:t>
      </w:r>
      <w:r>
        <w:rPr>
          <w:rFonts w:ascii="FangSong" w:hAnsi="FangSong" w:eastAsia="FangSong" w:cs="FangSong"/>
          <w:sz w:val="31"/>
          <w:szCs w:val="31"/>
          <w:spacing w:val="6"/>
        </w:rPr>
        <w:t>指单位上年结转本年使用的基本支出结转、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项目支出结转和结余、经营结余。</w:t>
      </w:r>
    </w:p>
    <w:p>
      <w:pPr>
        <w:ind w:left="28" w:right="105" w:firstLine="489"/>
        <w:spacing w:before="298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十、结余分配：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指事业单位按规定缴纳企业所得税以及从非财政拨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款结余或经营结余中提取各类结余的情况。</w:t>
      </w:r>
    </w:p>
    <w:p>
      <w:pPr>
        <w:spacing w:line="356" w:lineRule="auto"/>
        <w:sectPr>
          <w:footerReference w:type="default" r:id="rId21"/>
          <w:pgSz w:w="11906" w:h="16839"/>
          <w:pgMar w:top="1431" w:right="979" w:bottom="1091" w:left="1074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7" w:right="2" w:firstLine="432"/>
        <w:spacing w:before="163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十一、年末结转和结余资金：</w:t>
      </w:r>
      <w:r>
        <w:rPr>
          <w:rFonts w:ascii="FangSong" w:hAnsi="FangSong" w:eastAsia="FangSong" w:cs="FangSong"/>
          <w:sz w:val="31"/>
          <w:szCs w:val="31"/>
          <w:spacing w:val="7"/>
        </w:rPr>
        <w:t>指单位结转下年的</w:t>
      </w:r>
      <w:r>
        <w:rPr>
          <w:rFonts w:ascii="FangSong" w:hAnsi="FangSong" w:eastAsia="FangSong" w:cs="FangSong"/>
          <w:sz w:val="31"/>
          <w:szCs w:val="31"/>
          <w:spacing w:val="6"/>
        </w:rPr>
        <w:t>基本支出结转、项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目支出结转和结余、经营结余。</w:t>
      </w:r>
    </w:p>
    <w:p>
      <w:pPr>
        <w:ind w:left="19" w:right="2" w:firstLine="470"/>
        <w:spacing w:before="298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十二、基本支出：</w:t>
      </w:r>
      <w:r>
        <w:rPr>
          <w:rFonts w:ascii="FangSong" w:hAnsi="FangSong" w:eastAsia="FangSong" w:cs="FangSong"/>
          <w:sz w:val="31"/>
          <w:szCs w:val="31"/>
          <w:spacing w:val="7"/>
        </w:rPr>
        <w:t>指为保障机构正常运转、完成日常工作任务所发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生的支出，包括人员经费和公用经费。</w:t>
      </w:r>
    </w:p>
    <w:p>
      <w:pPr>
        <w:pStyle w:val="BodyText"/>
        <w:spacing w:line="378" w:lineRule="auto"/>
        <w:rPr/>
      </w:pPr>
      <w:r/>
    </w:p>
    <w:p>
      <w:pPr>
        <w:ind w:left="19" w:firstLine="470"/>
        <w:spacing w:before="101" w:line="30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十三、项目支出：</w:t>
      </w:r>
      <w:r>
        <w:rPr>
          <w:rFonts w:ascii="FangSong" w:hAnsi="FangSong" w:eastAsia="FangSong" w:cs="FangSong"/>
          <w:sz w:val="31"/>
          <w:szCs w:val="31"/>
          <w:spacing w:val="7"/>
        </w:rPr>
        <w:t>指在为完成特定的工作任务和事业发展目标所发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生的支出。</w:t>
      </w:r>
    </w:p>
    <w:p>
      <w:pPr>
        <w:pStyle w:val="BodyText"/>
        <w:spacing w:line="375" w:lineRule="auto"/>
        <w:rPr/>
      </w:pPr>
      <w:r/>
    </w:p>
    <w:p>
      <w:pPr>
        <w:ind w:left="3" w:right="2" w:firstLine="486"/>
        <w:spacing w:before="10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十四、上缴上级支出：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指事业单位按照财政部门和主管部门的规定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上缴上级单位的支出。</w:t>
      </w:r>
    </w:p>
    <w:p>
      <w:pPr>
        <w:pStyle w:val="BodyText"/>
        <w:spacing w:line="381" w:lineRule="auto"/>
        <w:rPr/>
      </w:pPr>
      <w:r/>
    </w:p>
    <w:p>
      <w:pPr>
        <w:ind w:left="2" w:firstLine="487"/>
        <w:spacing w:before="102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十五、经营支出：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指事业单位在专业业务活动及其辅助活动之外开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展非独立核算经营活动发生的支出。</w:t>
      </w:r>
    </w:p>
    <w:p>
      <w:pPr>
        <w:pStyle w:val="BodyText"/>
        <w:spacing w:line="379" w:lineRule="auto"/>
        <w:rPr/>
      </w:pPr>
      <w:r/>
    </w:p>
    <w:p>
      <w:pPr>
        <w:ind w:right="2" w:firstLine="488"/>
        <w:spacing w:before="101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十六、对附属单位补助支出：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指事业单位用财政</w:t>
      </w:r>
      <w:r>
        <w:rPr>
          <w:rFonts w:ascii="FangSong" w:hAnsi="FangSong" w:eastAsia="FangSong" w:cs="FangSong"/>
          <w:sz w:val="31"/>
          <w:szCs w:val="31"/>
          <w:spacing w:val="6"/>
        </w:rPr>
        <w:t>拨款收入之外的收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入对附属单位补助发生的支出。</w:t>
      </w:r>
    </w:p>
    <w:p>
      <w:pPr>
        <w:pStyle w:val="BodyText"/>
        <w:spacing w:line="374" w:lineRule="auto"/>
        <w:rPr/>
      </w:pPr>
      <w:r/>
    </w:p>
    <w:p>
      <w:pPr>
        <w:ind w:firstLine="489"/>
        <w:spacing w:before="101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十七、“三公</w:t>
      </w:r>
      <w:r>
        <w:rPr>
          <w:rFonts w:ascii="FangSong" w:hAnsi="FangSong" w:eastAsia="FangSong" w:cs="FangSong"/>
          <w:sz w:val="31"/>
          <w:szCs w:val="31"/>
          <w:spacing w:val="-93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”经费：</w:t>
      </w:r>
      <w:r>
        <w:rPr>
          <w:rFonts w:ascii="FangSong" w:hAnsi="FangSong" w:eastAsia="FangSong" w:cs="FangSong"/>
          <w:sz w:val="31"/>
          <w:szCs w:val="31"/>
          <w:spacing w:val="5"/>
        </w:rPr>
        <w:t>指部门（单位）用财政拨款安排的因公出国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（境）费、公务用车购置及运行维护费和公务接待</w:t>
      </w:r>
      <w:r>
        <w:rPr>
          <w:rFonts w:ascii="FangSong" w:hAnsi="FangSong" w:eastAsia="FangSong" w:cs="FangSong"/>
          <w:sz w:val="31"/>
          <w:szCs w:val="31"/>
          <w:spacing w:val="11"/>
        </w:rPr>
        <w:t>费。其中，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因公出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国（境）费反映部门（单位）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)</w:t>
      </w:r>
      <w:r>
        <w:rPr>
          <w:rFonts w:ascii="FangSong" w:hAnsi="FangSong" w:eastAsia="FangSong" w:cs="FangSong"/>
          <w:sz w:val="31"/>
          <w:szCs w:val="31"/>
          <w:spacing w:val="8"/>
        </w:rPr>
        <w:t>公务出国（境）的国际旅费、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国外城市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间交通费、住宿费、伙食费、培训费、公杂费等支出；公务用</w:t>
      </w:r>
      <w:r>
        <w:rPr>
          <w:rFonts w:ascii="FangSong" w:hAnsi="FangSong" w:eastAsia="FangSong" w:cs="FangSong"/>
          <w:sz w:val="31"/>
          <w:szCs w:val="31"/>
          <w:spacing w:val="13"/>
        </w:rPr>
        <w:t>车购置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及运行维护费反映部门（单位）公务用车购置支出（含车辆购置税、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牌照费）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以及按规定保留的公务用车燃料费、维修费、过路过桥费、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保险费、安全奖励费用等支出；公务接待费反映部门（单位）</w:t>
      </w:r>
      <w:r>
        <w:rPr>
          <w:rFonts w:ascii="FangSong" w:hAnsi="FangSong" w:eastAsia="FangSong" w:cs="FangSong"/>
          <w:sz w:val="31"/>
          <w:szCs w:val="31"/>
          <w:spacing w:val="13"/>
        </w:rPr>
        <w:t>按规定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开支的各类公务接待（含外宾接待）费用。</w:t>
      </w:r>
    </w:p>
    <w:p>
      <w:pPr>
        <w:spacing w:line="354" w:lineRule="auto"/>
        <w:sectPr>
          <w:footerReference w:type="default" r:id="rId22"/>
          <w:pgSz w:w="11906" w:h="16839"/>
          <w:pgMar w:top="1431" w:right="1082" w:bottom="1091" w:left="1102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firstLine="489"/>
        <w:spacing w:before="164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十八、机构运行经费：</w:t>
      </w:r>
      <w:r>
        <w:rPr>
          <w:rFonts w:ascii="FangSong" w:hAnsi="FangSong" w:eastAsia="FangSong" w:cs="FangSong"/>
          <w:sz w:val="31"/>
          <w:szCs w:val="31"/>
          <w:spacing w:val="7"/>
        </w:rPr>
        <w:t>指部门（单位）使用一般公共预算安排的基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本支出中的日常公用经费支出，包括办公及印刷费、邮电费、</w:t>
      </w:r>
      <w:r>
        <w:rPr>
          <w:rFonts w:ascii="FangSong" w:hAnsi="FangSong" w:eastAsia="FangSong" w:cs="FangSong"/>
          <w:sz w:val="31"/>
          <w:szCs w:val="31"/>
          <w:spacing w:val="6"/>
        </w:rPr>
        <w:t>差旅费、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会议费、福利费、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日常维修费、专用材料及一般设备购置费、办公用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房水电费、办公用房取暖费、办公用房物业管理费、公务用车</w:t>
      </w:r>
      <w:r>
        <w:rPr>
          <w:rFonts w:ascii="FangSong" w:hAnsi="FangSong" w:eastAsia="FangSong" w:cs="FangSong"/>
          <w:sz w:val="31"/>
          <w:szCs w:val="31"/>
          <w:spacing w:val="13"/>
        </w:rPr>
        <w:t>运行维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护费及其他费用等。</w:t>
      </w:r>
    </w:p>
    <w:p>
      <w:pPr>
        <w:pStyle w:val="BodyText"/>
        <w:spacing w:line="356" w:lineRule="auto"/>
        <w:rPr/>
      </w:pPr>
      <w:r/>
    </w:p>
    <w:p>
      <w:pPr>
        <w:pStyle w:val="BodyText"/>
        <w:spacing w:line="356" w:lineRule="auto"/>
        <w:rPr/>
      </w:pPr>
      <w:r/>
    </w:p>
    <w:p>
      <w:pPr>
        <w:ind w:left="1714"/>
        <w:spacing w:before="113" w:line="226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9"/>
        </w:rPr>
        <w:t>第四部分</w:t>
      </w:r>
      <w:r>
        <w:rPr>
          <w:rFonts w:ascii="SimHei" w:hAnsi="SimHei" w:eastAsia="SimHei" w:cs="SimHei"/>
          <w:sz w:val="35"/>
          <w:szCs w:val="35"/>
          <w:spacing w:val="9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9"/>
        </w:rPr>
        <w:t>决算公开联系方式及信息反馈渠道</w:t>
      </w:r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ind w:left="647"/>
        <w:spacing w:before="10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本单位决算公开信息反馈和联系方式：</w:t>
      </w:r>
    </w:p>
    <w:p>
      <w:pPr>
        <w:pStyle w:val="BodyText"/>
        <w:spacing w:line="389" w:lineRule="auto"/>
        <w:rPr/>
      </w:pPr>
      <w:r/>
    </w:p>
    <w:p>
      <w:pPr>
        <w:ind w:left="638"/>
        <w:spacing w:before="101" w:line="22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联系人：马丽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联系电话：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0477-8500098</w:t>
      </w:r>
    </w:p>
    <w:p>
      <w:pPr>
        <w:pStyle w:val="BodyText"/>
        <w:spacing w:line="298" w:lineRule="auto"/>
        <w:rPr/>
      </w:pPr>
      <w:r/>
    </w:p>
    <w:p>
      <w:pPr>
        <w:pStyle w:val="BodyText"/>
        <w:spacing w:line="299" w:lineRule="auto"/>
        <w:rPr/>
      </w:pPr>
      <w:r/>
    </w:p>
    <w:p>
      <w:pPr>
        <w:pStyle w:val="BodyText"/>
        <w:spacing w:line="299" w:lineRule="auto"/>
        <w:rPr/>
      </w:pPr>
      <w:r/>
    </w:p>
    <w:p>
      <w:pPr>
        <w:ind w:left="3514"/>
        <w:spacing w:before="114" w:line="227" w:lineRule="auto"/>
        <w:outlineLvl w:val="0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8"/>
        </w:rPr>
        <w:t>第五部分</w:t>
      </w:r>
      <w:r>
        <w:rPr>
          <w:rFonts w:ascii="SimHei" w:hAnsi="SimHei" w:eastAsia="SimHei" w:cs="SimHei"/>
          <w:sz w:val="35"/>
          <w:szCs w:val="35"/>
          <w:spacing w:val="8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8"/>
        </w:rPr>
        <w:t>单位决算表</w:t>
      </w:r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ind w:left="508"/>
        <w:spacing w:before="10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详见附件。</w:t>
      </w:r>
    </w:p>
    <w:sectPr>
      <w:footerReference w:type="default" r:id="rId23"/>
      <w:pgSz w:w="11906" w:h="16839"/>
      <w:pgMar w:top="1431" w:right="979" w:bottom="1091" w:left="1102" w:header="0" w:footer="92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3"/>
      <w:spacing w:line="173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1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1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0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7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4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2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footer" Target="footer2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image" Target="media/image2.jpeg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××年度××部门/单位</dc:title>
  <dc:creator>Administrator</dc:creator>
  <dcterms:created xsi:type="dcterms:W3CDTF">2024-09-27T16:24:26Z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2024-10-08T09:58:24</vt:filetime>
  </property>
</Properties>
</file>