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591" w:hanging="3591"/>
        <w:spacing w:before="167" w:line="284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5"/>
        </w:rPr>
        <w:t>2023</w:t>
      </w:r>
      <w:r>
        <w:rPr>
          <w:rFonts w:ascii="FZXiaoBiaoSong-B05S" w:hAnsi="FZXiaoBiaoSong-B05S" w:eastAsia="FZXiaoBiaoSong-B05S" w:cs="FZXiaoBiaoSong-B05S"/>
          <w:sz w:val="43"/>
          <w:szCs w:val="43"/>
          <w:spacing w:val="5"/>
        </w:rPr>
        <w:t xml:space="preserve"> </w:t>
      </w: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5"/>
        </w:rPr>
        <w:t>年度内蒙古自治区鄂尔多斯市工人文化宫</w:t>
      </w:r>
      <w:r>
        <w:rPr>
          <w:rFonts w:ascii="FZXiaoBiaoSong-B05S" w:hAnsi="FZXiaoBiaoSong-B05S" w:eastAsia="FZXiaoBiaoSong-B05S" w:cs="FZXiaoBiaoSong-B05S"/>
          <w:sz w:val="43"/>
          <w:szCs w:val="43"/>
          <w:spacing w:val="12"/>
        </w:rPr>
        <w:t xml:space="preserve"> </w:t>
      </w: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3"/>
        </w:rPr>
        <w:t>公开文档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854"/>
        <w:spacing w:before="101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单位名称：内蒙古自治区鄂尔多斯市工人文化宫</w:t>
      </w:r>
    </w:p>
    <w:p>
      <w:pPr>
        <w:ind w:left="1861"/>
        <w:spacing w:before="215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单位负责人：王强</w:t>
      </w:r>
    </w:p>
    <w:p>
      <w:pPr>
        <w:ind w:left="1857"/>
        <w:spacing w:before="215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财务负责人：何璇</w:t>
      </w:r>
    </w:p>
    <w:p>
      <w:pPr>
        <w:ind w:left="1854"/>
        <w:spacing w:before="211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编制人：王文静</w:t>
      </w:r>
    </w:p>
    <w:p>
      <w:pPr>
        <w:ind w:left="1859"/>
        <w:spacing w:before="214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  <w:position w:val="1"/>
        </w:rPr>
        <w:t>报送日期：2024</w:t>
      </w:r>
      <w:r>
        <w:rPr>
          <w:rFonts w:ascii="FangSong" w:hAnsi="FangSong" w:eastAsia="FangSong" w:cs="FangSong"/>
          <w:sz w:val="31"/>
          <w:szCs w:val="31"/>
          <w:spacing w:val="-4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  <w:position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60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  <w:position w:val="1"/>
        </w:rPr>
        <w:t>9</w:t>
      </w:r>
      <w:r>
        <w:rPr>
          <w:rFonts w:ascii="FangSong" w:hAnsi="FangSong" w:eastAsia="FangSong" w:cs="FangSong"/>
          <w:sz w:val="31"/>
          <w:szCs w:val="31"/>
          <w:spacing w:val="-44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  <w:position w:val="1"/>
        </w:rPr>
        <w:t>月</w:t>
      </w:r>
    </w:p>
    <w:p>
      <w:pPr>
        <w:spacing w:line="411" w:lineRule="exact"/>
        <w:sectPr>
          <w:footerReference w:type="default" r:id="rId1"/>
          <w:pgSz w:w="11906" w:h="16839"/>
          <w:pgMar w:top="1431" w:right="1483" w:bottom="898" w:left="1487" w:header="0" w:footer="71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ind w:left="3812"/>
        <w:spacing w:before="167" w:line="204" w:lineRule="auto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-37"/>
        </w:rPr>
        <w:t>目</w:t>
      </w:r>
      <w:r>
        <w:rPr>
          <w:rFonts w:ascii="FZXiaoBiaoSong-B05S" w:hAnsi="FZXiaoBiaoSong-B05S" w:eastAsia="FZXiaoBiaoSong-B05S" w:cs="FZXiaoBiaoSong-B05S"/>
          <w:sz w:val="43"/>
          <w:szCs w:val="43"/>
          <w:spacing w:val="11"/>
        </w:rPr>
        <w:t xml:space="preserve">  </w:t>
      </w: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-37"/>
        </w:rPr>
        <w:t>录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第一部分</w:t>
      </w:r>
      <w:r>
        <w:rPr>
          <w:rFonts w:ascii="SimHei" w:hAnsi="SimHei" w:eastAsia="SimHei" w:cs="SimHei"/>
          <w:sz w:val="31"/>
          <w:szCs w:val="31"/>
          <w:spacing w:val="30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5"/>
        </w:rPr>
        <w:t>单位概况</w:t>
      </w:r>
    </w:p>
    <w:p>
      <w:pPr>
        <w:ind w:left="23"/>
        <w:spacing w:before="225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一、主要职能、职责</w:t>
      </w:r>
    </w:p>
    <w:p>
      <w:pPr>
        <w:ind w:left="18"/>
        <w:spacing w:before="213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二、单位机构设置及决算单位构成情况</w:t>
      </w:r>
    </w:p>
    <w:p>
      <w:pPr>
        <w:ind w:left="23"/>
        <w:spacing w:before="215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三、2023</w:t>
      </w:r>
      <w:r>
        <w:rPr>
          <w:rFonts w:ascii="FangSong" w:hAnsi="FangSong" w:eastAsia="FangSong" w:cs="FangSong"/>
          <w:sz w:val="31"/>
          <w:szCs w:val="31"/>
          <w:spacing w:val="-52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年度单位主要工作完成情况</w:t>
      </w:r>
    </w:p>
    <w:p>
      <w:pPr>
        <w:pStyle w:val="BodyText"/>
        <w:spacing w:line="371" w:lineRule="auto"/>
        <w:rPr/>
      </w:pPr>
      <w:r/>
    </w:p>
    <w:p>
      <w:pPr>
        <w:ind w:left="74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第二部分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</w:rPr>
        <w:t>单位决算情况说明</w:t>
      </w:r>
    </w:p>
    <w:p>
      <w:pPr>
        <w:pStyle w:val="BodyText"/>
        <w:spacing w:line="362" w:lineRule="auto"/>
        <w:rPr/>
      </w:pPr>
      <w:r/>
    </w:p>
    <w:p>
      <w:pPr>
        <w:ind w:left="23"/>
        <w:spacing w:before="102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一、收入支出决算总体情况说明</w:t>
      </w:r>
    </w:p>
    <w:p>
      <w:pPr>
        <w:ind w:left="18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二、收入决算情况说明</w:t>
      </w:r>
    </w:p>
    <w:p>
      <w:pPr>
        <w:ind w:left="23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三、支出决算情况说明</w:t>
      </w:r>
    </w:p>
    <w:p>
      <w:pPr>
        <w:ind w:left="47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四、财政拨款收入支出决算总体情况说明</w:t>
      </w:r>
    </w:p>
    <w:p>
      <w:pPr>
        <w:ind w:left="14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五、一般公共预算财政拨款支出决算情况说明</w:t>
      </w:r>
    </w:p>
    <w:p>
      <w:pPr>
        <w:ind w:left="22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六、一般公共预算财政拨款基本支出决算情况说明</w:t>
      </w:r>
    </w:p>
    <w:p>
      <w:pPr>
        <w:ind w:left="16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七、一般公共预算财政拨款项目支出决算情况说明</w:t>
      </w:r>
    </w:p>
    <w:p>
      <w:pPr>
        <w:ind w:left="5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八、财政拨款“</w:t>
      </w:r>
      <w:r>
        <w:rPr>
          <w:rFonts w:ascii="FangSong" w:hAnsi="FangSong" w:eastAsia="FangSong" w:cs="FangSong"/>
          <w:sz w:val="31"/>
          <w:szCs w:val="31"/>
          <w:spacing w:val="-114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三公”经费支出决算情况说明</w:t>
      </w:r>
    </w:p>
    <w:p>
      <w:pPr>
        <w:ind w:left="12"/>
        <w:spacing w:before="214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九、政府性基金预算财政拨款支出决算情况说明</w:t>
      </w:r>
    </w:p>
    <w:p>
      <w:pPr>
        <w:ind w:left="16"/>
        <w:spacing w:before="216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十、国有资本经营预算财政拨款支出决算情况说明</w:t>
      </w:r>
    </w:p>
    <w:p>
      <w:pPr>
        <w:ind w:left="16"/>
        <w:spacing w:before="214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十一、机构运行经费支出决算情况说明</w:t>
      </w:r>
    </w:p>
    <w:p>
      <w:pPr>
        <w:ind w:left="16"/>
        <w:spacing w:before="215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十二、政府采购支出决算情况说明</w:t>
      </w:r>
    </w:p>
    <w:p>
      <w:pPr>
        <w:spacing w:line="410" w:lineRule="exact"/>
        <w:sectPr>
          <w:footerReference w:type="default" r:id="rId2"/>
          <w:pgSz w:w="11906" w:h="16839"/>
          <w:pgMar w:top="1431" w:right="1785" w:bottom="1091" w:left="1661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78"/>
        <w:spacing w:before="142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十三、国有资产占用情况说明</w:t>
      </w:r>
    </w:p>
    <w:p>
      <w:pPr>
        <w:ind w:left="636" w:right="5654" w:hanging="58"/>
        <w:spacing w:before="212" w:line="490" w:lineRule="auto"/>
        <w:rPr>
          <w:rFonts w:ascii="SimHei" w:hAnsi="SimHei" w:eastAsia="SimHei" w:cs="SimHe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十四、预算绩效情况说明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第三部分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名词解释</w:t>
      </w:r>
    </w:p>
    <w:p>
      <w:pPr>
        <w:ind w:left="636" w:right="2858"/>
        <w:spacing w:before="104" w:line="499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第四部分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9"/>
        </w:rPr>
        <w:t>决算公开联系方式及信息反馈渠道</w:t>
      </w:r>
      <w:r>
        <w:rPr>
          <w:rFonts w:ascii="SimHei" w:hAnsi="SimHei" w:eastAsia="SimHei" w:cs="SimHei"/>
          <w:sz w:val="31"/>
          <w:szCs w:val="31"/>
          <w:spacing w:val="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</w:rPr>
        <w:t>第五部分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</w:rPr>
        <w:t>单位决算表</w:t>
      </w:r>
    </w:p>
    <w:p>
      <w:pPr>
        <w:ind w:left="586"/>
        <w:spacing w:before="30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一、收入支出决算总表</w:t>
      </w:r>
    </w:p>
    <w:p>
      <w:pPr>
        <w:ind w:left="581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二、收入决算表</w:t>
      </w:r>
    </w:p>
    <w:p>
      <w:pPr>
        <w:ind w:left="586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1"/>
        </w:rPr>
        <w:t>三、支出决算表</w:t>
      </w:r>
    </w:p>
    <w:p>
      <w:pPr>
        <w:ind w:left="610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四、财政拨款收入支出决算总表</w:t>
      </w:r>
    </w:p>
    <w:p>
      <w:pPr>
        <w:ind w:left="577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五、一般公共预算财政拨款支出决算表</w:t>
      </w:r>
    </w:p>
    <w:p>
      <w:pPr>
        <w:ind w:left="584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六、一般公共预算财政拨款基本支出决算明细表</w:t>
      </w:r>
    </w:p>
    <w:p>
      <w:pPr>
        <w:ind w:left="578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七、一般公共预算财政拨款项目支出决算明细表</w:t>
      </w:r>
    </w:p>
    <w:p>
      <w:pPr>
        <w:ind w:left="567"/>
        <w:spacing w:before="214" w:line="407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  <w:position w:val="1"/>
        </w:rPr>
        <w:t>八、政府性基金预算财政拨款收入支出决算表</w:t>
      </w:r>
    </w:p>
    <w:p>
      <w:pPr>
        <w:ind w:left="575"/>
        <w:spacing w:before="217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九、国有资本经营预算财政拨款支出决算表</w:t>
      </w:r>
    </w:p>
    <w:p>
      <w:pPr>
        <w:ind w:left="578"/>
        <w:spacing w:before="21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十、财政拨款“</w:t>
      </w:r>
      <w:r>
        <w:rPr>
          <w:rFonts w:ascii="FangSong" w:hAnsi="FangSong" w:eastAsia="FangSong" w:cs="FangSong"/>
          <w:sz w:val="31"/>
          <w:szCs w:val="31"/>
          <w:spacing w:val="-11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三公”经费支出决算表</w:t>
      </w:r>
    </w:p>
    <w:p>
      <w:pPr>
        <w:ind w:firstLine="578"/>
        <w:spacing w:before="215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十一、机构运行经费支出、国有资产占用情况及政府采购支出信息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表</w:t>
      </w:r>
    </w:p>
    <w:p>
      <w:pPr>
        <w:spacing w:line="309" w:lineRule="auto"/>
        <w:sectPr>
          <w:footerReference w:type="default" r:id="rId3"/>
          <w:pgSz w:w="11906" w:h="16839"/>
          <w:pgMar w:top="1431" w:right="1084" w:bottom="1091" w:left="1098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89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ind w:left="3500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6"/>
        </w:rPr>
        <w:t>第一部分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6"/>
        </w:rPr>
        <w:t>单位概况</w:t>
      </w:r>
    </w:p>
    <w:p>
      <w:pPr>
        <w:pStyle w:val="BodyText"/>
        <w:spacing w:line="303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ind w:left="417"/>
        <w:spacing w:before="101" w:line="23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一、主要职能、职责</w:t>
      </w:r>
    </w:p>
    <w:p>
      <w:pPr>
        <w:pStyle w:val="BodyText"/>
        <w:spacing w:line="433" w:lineRule="auto"/>
        <w:rPr/>
      </w:pPr>
      <w:r/>
    </w:p>
    <w:p>
      <w:pPr>
        <w:ind w:left="1" w:firstLine="727"/>
        <w:spacing w:before="100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鄂尔多斯市工人文化宫，为市总工会所属，为正科级公益二类事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业单位。主要承担职工素质提升培训、农牧民工职业技能提升培训、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职工文艺创作培训的组织工作；组织开展文化产品下基层、文艺演出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等各类文体活动；承担职工群众文化活动公益服务工作；承担市总工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会交办的其他相关工作。</w:t>
      </w:r>
    </w:p>
    <w:p>
      <w:pPr>
        <w:ind w:left="392"/>
        <w:spacing w:before="235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7"/>
        </w:rPr>
        <w:t>二、单位机构设置及决算单位构成情况</w:t>
      </w:r>
    </w:p>
    <w:p>
      <w:pPr>
        <w:pStyle w:val="BodyText"/>
        <w:spacing w:line="425" w:lineRule="auto"/>
        <w:rPr/>
      </w:pPr>
      <w:r/>
    </w:p>
    <w:p>
      <w:pPr>
        <w:ind w:firstLine="740"/>
        <w:spacing w:before="101" w:line="34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1．根据本部门职责分工，本部门内设机构包括办公室、财务审计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部、教育培训部、文化艺术部、体育健身部、后勤物业管理部。2023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年鄂尔多斯市工人文化宫共有行政机构数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1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家，其中财政拨款的行政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事业单位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家。与去年相比，机构数量无变化。本部门无下属单位。</w:t>
      </w:r>
    </w:p>
    <w:p>
      <w:pPr>
        <w:ind w:left="6" w:firstLine="722"/>
        <w:spacing w:before="63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2．从预算单位构成看，纳入本部门2023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年部门汇总预算编制范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围的预算单位共计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家，具体包括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：鄂尔多斯市工人文化宫。详细情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况见表：</w:t>
      </w:r>
    </w:p>
    <w:p>
      <w:pPr>
        <w:spacing w:line="346" w:lineRule="auto"/>
        <w:sectPr>
          <w:footerReference w:type="default" r:id="rId4"/>
          <w:pgSz w:w="11906" w:h="16839"/>
          <w:pgMar w:top="1431" w:right="1084" w:bottom="1091" w:left="1098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75"/>
        <w:rPr/>
      </w:pPr>
      <w:r/>
    </w:p>
    <w:p>
      <w:pPr>
        <w:spacing w:before="74"/>
        <w:rPr/>
      </w:pPr>
      <w:r/>
    </w:p>
    <w:tbl>
      <w:tblPr>
        <w:tblStyle w:val="TableNormal"/>
        <w:tblW w:w="97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8"/>
        <w:gridCol w:w="3716"/>
        <w:gridCol w:w="5249"/>
      </w:tblGrid>
      <w:tr>
        <w:trPr>
          <w:trHeight w:val="1439" w:hRule="atLeast"/>
        </w:trPr>
        <w:tc>
          <w:tcPr>
            <w:tcW w:w="758" w:type="dxa"/>
            <w:vAlign w:val="top"/>
            <w:textDirection w:val="tbRlV"/>
          </w:tcPr>
          <w:p>
            <w:pPr>
              <w:ind w:left="140"/>
              <w:spacing w:before="215" w:line="20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45"/>
              </w:rPr>
              <w:t>序</w:t>
            </w:r>
            <w:r>
              <w:rPr>
                <w:rFonts w:ascii="FangSong" w:hAnsi="FangSong" w:eastAsia="FangSong" w:cs="FangSong"/>
                <w:sz w:val="31"/>
                <w:szCs w:val="31"/>
                <w:spacing w:val="1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45"/>
              </w:rPr>
              <w:t>号</w:t>
            </w:r>
          </w:p>
        </w:tc>
        <w:tc>
          <w:tcPr>
            <w:tcW w:w="3716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ind w:left="1238"/>
              <w:spacing w:before="101" w:line="408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3"/>
                <w:position w:val="1"/>
              </w:rPr>
              <w:t>单位名称</w:t>
            </w:r>
          </w:p>
        </w:tc>
        <w:tc>
          <w:tcPr>
            <w:tcW w:w="5249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ind w:left="2006"/>
              <w:spacing w:before="101" w:line="407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3"/>
                <w:position w:val="1"/>
              </w:rPr>
              <w:t>单位性质</w:t>
            </w:r>
          </w:p>
        </w:tc>
      </w:tr>
      <w:tr>
        <w:trPr>
          <w:trHeight w:val="1450" w:hRule="atLeast"/>
        </w:trPr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14"/>
              <w:spacing w:before="101" w:line="199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</w:rPr>
              <w:t>1</w:t>
            </w:r>
          </w:p>
        </w:tc>
        <w:tc>
          <w:tcPr>
            <w:tcW w:w="3716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ind w:left="274"/>
              <w:spacing w:before="101" w:line="410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7"/>
                <w:position w:val="1"/>
              </w:rPr>
              <w:t>鄂尔多斯市工人文化宫</w:t>
            </w:r>
          </w:p>
        </w:tc>
        <w:tc>
          <w:tcPr>
            <w:tcW w:w="5249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ind w:left="1359"/>
              <w:spacing w:before="101" w:line="409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7"/>
                <w:position w:val="1"/>
              </w:rPr>
              <w:t>公益二类事业单位</w:t>
            </w:r>
          </w:p>
        </w:tc>
      </w:tr>
    </w:tbl>
    <w:p>
      <w:pPr>
        <w:pStyle w:val="BodyText"/>
        <w:spacing w:line="273" w:lineRule="auto"/>
        <w:rPr/>
      </w:pPr>
      <w:r/>
    </w:p>
    <w:p>
      <w:pPr>
        <w:ind w:left="867"/>
        <w:spacing w:before="100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备注：我单位无二级预算单位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771"/>
        <w:spacing w:before="100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三、2023</w:t>
      </w:r>
      <w:r>
        <w:rPr>
          <w:rFonts w:ascii="KaiTi" w:hAnsi="KaiTi" w:eastAsia="KaiTi" w:cs="KaiTi"/>
          <w:sz w:val="31"/>
          <w:szCs w:val="31"/>
          <w:spacing w:val="-50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年度单位主要工作完成情况</w:t>
      </w:r>
    </w:p>
    <w:p>
      <w:pPr>
        <w:pStyle w:val="BodyText"/>
        <w:spacing w:line="362" w:lineRule="auto"/>
        <w:rPr/>
      </w:pPr>
      <w:r/>
    </w:p>
    <w:p>
      <w:pPr>
        <w:ind w:left="127" w:firstLine="658"/>
        <w:spacing w:before="101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市工人文化宫围绕市总工会中心工作，充分发挥职工政治、</w:t>
      </w:r>
      <w:r>
        <w:rPr>
          <w:rFonts w:ascii="FangSong" w:hAnsi="FangSong" w:eastAsia="FangSong" w:cs="FangSong"/>
          <w:sz w:val="31"/>
          <w:szCs w:val="31"/>
          <w:spacing w:val="6"/>
        </w:rPr>
        <w:t>文化、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体育活动阵地作用，成功接待自治区、各盟市、各旗区、市直机关及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部门企事业单位参观学习交流活动，成功接待自治区、市直、旗区多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次重要会议和参展任务，先后与自治区总工会、市直各机关如人大、</w:t>
      </w:r>
    </w:p>
    <w:p>
      <w:pPr>
        <w:ind w:left="133" w:right="193" w:hanging="2"/>
        <w:spacing w:before="63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政协、宣传部、机关党委、市红十字会、市退役军人事务局等十余家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单位举办各类宣讲、赛事等文体活动，接待了俄罗斯、蒙古国等多个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国家的工会联合会、20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个省（港澳台）市县级工会和其他单位参观团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来文化宫考察学习，极大丰富了全市广大职工群众的精神</w:t>
      </w:r>
      <w:r>
        <w:rPr>
          <w:rFonts w:ascii="FangSong" w:hAnsi="FangSong" w:eastAsia="FangSong" w:cs="FangSong"/>
          <w:sz w:val="31"/>
          <w:szCs w:val="31"/>
          <w:spacing w:val="8"/>
        </w:rPr>
        <w:t>文化生活，</w:t>
      </w:r>
    </w:p>
    <w:p>
      <w:pPr>
        <w:ind w:left="135" w:right="123"/>
        <w:spacing w:before="60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也扩大了市工人文化宫的社会影响。截至目前，共计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60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余场，累计服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务职工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万余人，切实做到“工人文化宫里</w:t>
      </w:r>
      <w:r>
        <w:rPr>
          <w:rFonts w:ascii="FangSong" w:hAnsi="FangSong" w:eastAsia="FangSong" w:cs="FangSong"/>
          <w:sz w:val="31"/>
          <w:szCs w:val="31"/>
          <w:spacing w:val="6"/>
        </w:rPr>
        <w:t>有职工，工人文化宫里有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文化”</w:t>
      </w:r>
      <w:r>
        <w:rPr>
          <w:rFonts w:ascii="FangSong" w:hAnsi="FangSong" w:eastAsia="FangSong" w:cs="FangSong"/>
          <w:sz w:val="31"/>
          <w:szCs w:val="31"/>
          <w:spacing w:val="-1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，不断将工人文化宫阵地建设成为引领职工思政</w:t>
      </w:r>
      <w:r>
        <w:rPr>
          <w:rFonts w:ascii="FangSong" w:hAnsi="FangSong" w:eastAsia="FangSong" w:cs="FangSong"/>
          <w:sz w:val="31"/>
          <w:szCs w:val="31"/>
          <w:spacing w:val="7"/>
        </w:rPr>
        <w:t>建设的学校和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2"/>
        </w:rPr>
        <w:t>乐园。</w:t>
      </w:r>
    </w:p>
    <w:p>
      <w:pPr>
        <w:spacing w:line="363" w:lineRule="auto"/>
        <w:sectPr>
          <w:footerReference w:type="default" r:id="rId5"/>
          <w:pgSz w:w="11906" w:h="16839"/>
          <w:pgMar w:top="1431" w:right="958" w:bottom="1089" w:left="970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06" w:lineRule="auto"/>
        <w:rPr/>
      </w:pPr>
      <w:r/>
    </w:p>
    <w:p>
      <w:pPr>
        <w:pStyle w:val="BodyText"/>
        <w:spacing w:line="307" w:lineRule="auto"/>
        <w:rPr/>
      </w:pPr>
      <w:r/>
    </w:p>
    <w:p>
      <w:pPr>
        <w:pStyle w:val="BodyText"/>
        <w:spacing w:line="307" w:lineRule="auto"/>
        <w:rPr/>
      </w:pPr>
      <w:r/>
    </w:p>
    <w:p>
      <w:pPr>
        <w:ind w:left="2808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第二部分</w:t>
      </w:r>
      <w:r>
        <w:rPr>
          <w:rFonts w:ascii="SimHei" w:hAnsi="SimHei" w:eastAsia="SimHei" w:cs="SimHei"/>
          <w:sz w:val="31"/>
          <w:szCs w:val="31"/>
          <w:spacing w:val="125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单位决算情况说明</w:t>
      </w:r>
    </w:p>
    <w:p>
      <w:pPr>
        <w:pStyle w:val="BodyText"/>
        <w:spacing w:line="363" w:lineRule="auto"/>
        <w:rPr/>
      </w:pPr>
      <w:r/>
    </w:p>
    <w:p>
      <w:pPr>
        <w:ind w:left="412"/>
        <w:spacing w:before="100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一、收入支出决算总体情况说明</w:t>
      </w:r>
    </w:p>
    <w:p>
      <w:pPr>
        <w:pStyle w:val="BodyText"/>
        <w:spacing w:line="355" w:lineRule="auto"/>
        <w:rPr/>
      </w:pPr>
      <w:r/>
    </w:p>
    <w:p>
      <w:pPr>
        <w:ind w:firstLine="947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2023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年度收入</w:t>
      </w:r>
      <w:r>
        <w:rPr>
          <w:rFonts w:ascii="FangSong" w:hAnsi="FangSong" w:eastAsia="FangSong" w:cs="FangSong"/>
          <w:sz w:val="31"/>
          <w:szCs w:val="31"/>
          <w:spacing w:val="4"/>
        </w:rPr>
        <w:t>、支出决算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总计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万元。与年初预算相比，收、支总计各减少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5.65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长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1.53</w:t>
      </w:r>
      <w:r>
        <w:rPr>
          <w:rFonts w:ascii="FangSong" w:hAnsi="FangSong" w:eastAsia="FangSong" w:cs="FangSong"/>
          <w:sz w:val="31"/>
          <w:szCs w:val="31"/>
          <w:spacing w:val="5"/>
        </w:rPr>
        <w:t>%，变动原因：年初预算</w:t>
      </w:r>
      <w:r>
        <w:rPr>
          <w:rFonts w:ascii="KaiTi" w:hAnsi="KaiTi" w:eastAsia="KaiTi" w:cs="KaiTi"/>
          <w:sz w:val="31"/>
          <w:szCs w:val="31"/>
          <w:b/>
          <w:bCs/>
          <w:spacing w:val="5"/>
        </w:rPr>
        <w:t>退休</w:t>
      </w:r>
      <w:r>
        <w:rPr>
          <w:rFonts w:ascii="FangSong" w:hAnsi="FangSong" w:eastAsia="FangSong" w:cs="FangSong"/>
          <w:sz w:val="31"/>
          <w:szCs w:val="31"/>
          <w:spacing w:val="5"/>
        </w:rPr>
        <w:t>职工全年交通补助</w:t>
      </w:r>
      <w:r>
        <w:rPr>
          <w:rFonts w:ascii="FangSong" w:hAnsi="FangSong" w:eastAsia="FangSong" w:cs="FangSong"/>
          <w:sz w:val="31"/>
          <w:szCs w:val="31"/>
          <w:spacing w:val="4"/>
        </w:rPr>
        <w:t>工资，按照相关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规定未予全部发放；与上年决算相比，收、支总计各增加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264.93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增长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252.38</w:t>
      </w:r>
      <w:r>
        <w:rPr>
          <w:rFonts w:ascii="FangSong" w:hAnsi="FangSong" w:eastAsia="FangSong" w:cs="FangSong"/>
          <w:sz w:val="31"/>
          <w:szCs w:val="31"/>
        </w:rPr>
        <w:t>%。其中：</w:t>
      </w:r>
    </w:p>
    <w:p>
      <w:pPr>
        <w:ind w:left="339"/>
        <w:spacing w:before="302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74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一</w:t>
      </w:r>
      <w:r>
        <w:rPr>
          <w:rFonts w:ascii="FangSong" w:hAnsi="FangSong" w:eastAsia="FangSong" w:cs="FangSong"/>
          <w:sz w:val="31"/>
          <w:szCs w:val="31"/>
          <w:spacing w:val="-6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）收入决算总计</w:t>
      </w: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369.90</w:t>
      </w:r>
      <w:r>
        <w:rPr>
          <w:rFonts w:ascii="FangSong" w:hAnsi="FangSong" w:eastAsia="FangSong" w:cs="FangSong"/>
          <w:sz w:val="31"/>
          <w:szCs w:val="31"/>
          <w:spacing w:val="-41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万元。</w:t>
      </w:r>
      <w:r>
        <w:rPr>
          <w:rFonts w:ascii="FangSong" w:hAnsi="FangSong" w:eastAsia="FangSong" w:cs="FangSong"/>
          <w:sz w:val="31"/>
          <w:szCs w:val="31"/>
          <w:b/>
          <w:bCs/>
          <w:spacing w:val="-7"/>
          <w:position w:val="1"/>
        </w:rPr>
        <w:t>包括</w:t>
      </w: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：</w:t>
      </w:r>
    </w:p>
    <w:p>
      <w:pPr>
        <w:pStyle w:val="BodyText"/>
        <w:spacing w:line="349" w:lineRule="auto"/>
        <w:rPr/>
      </w:pPr>
      <w:r/>
    </w:p>
    <w:p>
      <w:pPr>
        <w:ind w:left="11" w:right="100" w:firstLine="496"/>
        <w:spacing w:before="101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1.本年收入决算合计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万元。与上年决算相比</w:t>
      </w:r>
      <w:r>
        <w:rPr>
          <w:rFonts w:ascii="FangSong" w:hAnsi="FangSong" w:eastAsia="FangSong" w:cs="FangSong"/>
          <w:sz w:val="31"/>
          <w:szCs w:val="31"/>
          <w:spacing w:val="2"/>
        </w:rPr>
        <w:t>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264.93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>252.38</w:t>
      </w:r>
      <w:r>
        <w:rPr>
          <w:rFonts w:ascii="FangSong" w:hAnsi="FangSong" w:eastAsia="FangSong" w:cs="FangSong"/>
          <w:sz w:val="31"/>
          <w:szCs w:val="31"/>
          <w:spacing w:val="6"/>
        </w:rPr>
        <w:t>%，变动原因：由于文化宫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</w:t>
      </w:r>
      <w:r>
        <w:rPr>
          <w:rFonts w:ascii="FangSong" w:hAnsi="FangSong" w:eastAsia="FangSong" w:cs="FangSong"/>
          <w:sz w:val="31"/>
          <w:szCs w:val="31"/>
          <w:spacing w:val="5"/>
        </w:rPr>
        <w:t>23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年新增机构运行经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费。</w:t>
      </w:r>
    </w:p>
    <w:p>
      <w:pPr>
        <w:ind w:right="100" w:firstLine="488"/>
        <w:spacing w:before="299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2.使用非财政拨款结余和专用结余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万元。与上年决算相比，增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3"/>
        </w:rPr>
        <w:t>%，变动原因：不存在此项内容。</w:t>
      </w:r>
    </w:p>
    <w:p>
      <w:pPr>
        <w:ind w:right="160" w:firstLine="489"/>
        <w:spacing w:before="306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3.年初结转和结余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增长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spacing w:val="7"/>
        </w:rPr>
        <w:t>%，变动原因：不存在此项内容。</w:t>
      </w:r>
    </w:p>
    <w:p>
      <w:pPr>
        <w:ind w:left="428"/>
        <w:spacing w:before="307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3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7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3"/>
          <w:position w:val="1"/>
        </w:rPr>
        <w:t>二）支出决算总计</w:t>
      </w:r>
      <w:r>
        <w:rPr>
          <w:rFonts w:ascii="FangSong" w:hAnsi="FangSong" w:eastAsia="FangSong" w:cs="FangSong"/>
          <w:sz w:val="31"/>
          <w:szCs w:val="31"/>
          <w:spacing w:val="-3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3"/>
          <w:position w:val="1"/>
        </w:rPr>
        <w:t>369.90</w:t>
      </w:r>
      <w:r>
        <w:rPr>
          <w:rFonts w:ascii="FangSong" w:hAnsi="FangSong" w:eastAsia="FangSong" w:cs="FangSong"/>
          <w:sz w:val="31"/>
          <w:szCs w:val="31"/>
          <w:spacing w:val="-41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3"/>
          <w:position w:val="1"/>
        </w:rPr>
        <w:t>万元。包括：</w:t>
      </w:r>
    </w:p>
    <w:p>
      <w:pPr>
        <w:spacing w:line="410" w:lineRule="exact"/>
        <w:sectPr>
          <w:footerReference w:type="default" r:id="rId6"/>
          <w:pgSz w:w="11906" w:h="16839"/>
          <w:pgMar w:top="1431" w:right="984" w:bottom="1091" w:left="110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4" w:right="120" w:firstLine="697"/>
        <w:spacing w:before="141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1.本年支出决算合计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264.93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>252.38</w:t>
      </w:r>
      <w:r>
        <w:rPr>
          <w:rFonts w:ascii="FangSong" w:hAnsi="FangSong" w:eastAsia="FangSong" w:cs="FangSong"/>
          <w:sz w:val="31"/>
          <w:szCs w:val="31"/>
          <w:spacing w:val="6"/>
        </w:rPr>
        <w:t>%，变动原因：由于文化宫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</w:t>
      </w:r>
      <w:r>
        <w:rPr>
          <w:rFonts w:ascii="FangSong" w:hAnsi="FangSong" w:eastAsia="FangSong" w:cs="FangSong"/>
          <w:sz w:val="31"/>
          <w:szCs w:val="31"/>
          <w:spacing w:val="5"/>
        </w:rPr>
        <w:t>23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年新增机构运行经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费。</w:t>
      </w:r>
    </w:p>
    <w:p>
      <w:pPr>
        <w:ind w:firstLine="491"/>
        <w:spacing w:before="298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2.结余分配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万元。结余分配事项：本年无结余分配事项。与上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3"/>
        </w:rPr>
        <w:t>%，变动原因：不存在此项内容。</w:t>
      </w:r>
    </w:p>
    <w:p>
      <w:pPr>
        <w:ind w:left="7" w:right="117" w:firstLine="480"/>
        <w:spacing w:before="308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3.年末结转和结余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万元。结转和结余事项：本年无结转和结余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事项。与上年决算相比，增加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</w:t>
      </w:r>
      <w:r>
        <w:rPr>
          <w:rFonts w:ascii="FangSong" w:hAnsi="FangSong" w:eastAsia="FangSong" w:cs="FangSong"/>
          <w:sz w:val="31"/>
          <w:szCs w:val="31"/>
          <w:spacing w:val="1"/>
        </w:rPr>
        <w:t>%，变动原因：不存在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此项内容。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391"/>
        <w:spacing w:before="101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二、收入决算情况说明</w:t>
      </w:r>
    </w:p>
    <w:p>
      <w:pPr>
        <w:pStyle w:val="BodyText"/>
        <w:spacing w:line="354" w:lineRule="auto"/>
        <w:rPr/>
      </w:pPr>
      <w:r/>
    </w:p>
    <w:p>
      <w:pPr>
        <w:ind w:left="6" w:right="120" w:firstLine="697"/>
        <w:spacing w:before="100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2023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年度本年</w:t>
      </w:r>
      <w:r>
        <w:rPr>
          <w:rFonts w:ascii="FangSong" w:hAnsi="FangSong" w:eastAsia="FangSong" w:cs="FangSong"/>
          <w:sz w:val="31"/>
          <w:szCs w:val="31"/>
          <w:spacing w:val="12"/>
        </w:rPr>
        <w:t>收入决算合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万元，其中：</w:t>
      </w:r>
    </w:p>
    <w:p>
      <w:pPr>
        <w:ind w:left="496" w:right="1007"/>
        <w:spacing w:before="302" w:line="50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本年一般公共预算财政拨款收入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100.00</w:t>
      </w:r>
      <w:r>
        <w:rPr>
          <w:rFonts w:ascii="FangSong" w:hAnsi="FangSong" w:eastAsia="FangSong" w:cs="FangSong"/>
          <w:sz w:val="31"/>
          <w:szCs w:val="31"/>
          <w:spacing w:val="-2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本年政府性基金预算财政拨款收入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0.00</w:t>
      </w:r>
      <w:r>
        <w:rPr>
          <w:rFonts w:ascii="FangSong" w:hAnsi="FangSong" w:eastAsia="FangSong" w:cs="FangSong"/>
          <w:sz w:val="31"/>
          <w:szCs w:val="31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2"/>
        </w:rPr>
        <w:t>本年国有资本经营预算财政拨款收入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0.00</w:t>
      </w:r>
      <w:r>
        <w:rPr>
          <w:rFonts w:ascii="FangSong" w:hAnsi="FangSong" w:eastAsia="FangSong" w:cs="FangSong"/>
          <w:sz w:val="31"/>
          <w:szCs w:val="31"/>
          <w:spacing w:val="-3"/>
        </w:rPr>
        <w:t>%；</w:t>
      </w:r>
    </w:p>
    <w:p>
      <w:pPr>
        <w:ind w:left="496" w:right="3568"/>
        <w:spacing w:before="63" w:line="4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本年上级补助收入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>0.00</w:t>
      </w:r>
      <w:r>
        <w:rPr>
          <w:rFonts w:ascii="FangSong" w:hAnsi="FangSong" w:eastAsia="FangSong" w:cs="FangSong"/>
          <w:sz w:val="31"/>
          <w:szCs w:val="31"/>
          <w:spacing w:val="-8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本年事业收入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spacing w:val="-7"/>
        </w:rPr>
        <w:t>%；</w:t>
      </w:r>
    </w:p>
    <w:p>
      <w:pPr>
        <w:ind w:left="496"/>
        <w:spacing w:before="62" w:line="2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本年经营收入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spacing w:val="-7"/>
        </w:rPr>
        <w:t>%；</w:t>
      </w:r>
    </w:p>
    <w:p>
      <w:pPr>
        <w:spacing w:line="245" w:lineRule="auto"/>
        <w:sectPr>
          <w:footerReference w:type="default" r:id="rId7"/>
          <w:pgSz w:w="11906" w:h="16839"/>
          <w:pgMar w:top="1431" w:right="964" w:bottom="1089" w:left="1099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90" w:right="2807"/>
        <w:spacing w:before="141" w:line="4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本年附属单位上缴收入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>0.00</w:t>
      </w:r>
      <w:r>
        <w:rPr>
          <w:rFonts w:ascii="FangSong" w:hAnsi="FangSong" w:eastAsia="FangSong" w:cs="FangSong"/>
          <w:sz w:val="31"/>
          <w:szCs w:val="31"/>
          <w:spacing w:val="-5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本年其他收入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spacing w:val="-7"/>
        </w:rPr>
        <w:t>%。</w:t>
      </w: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firstLine="662"/>
        <w:spacing w:line="4781" w:lineRule="exact"/>
        <w:rPr/>
      </w:pPr>
      <w:r>
        <w:rPr>
          <w:position w:val="-95"/>
        </w:rPr>
        <w:drawing>
          <wp:inline distT="0" distB="0" distL="0" distR="0">
            <wp:extent cx="5304154" cy="303593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4154" cy="303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88" w:lineRule="auto"/>
        <w:rPr/>
      </w:pPr>
      <w:r/>
    </w:p>
    <w:p>
      <w:pPr>
        <w:ind w:left="441"/>
        <w:spacing w:before="101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三、支出决算情况说明</w:t>
      </w:r>
    </w:p>
    <w:p>
      <w:pPr>
        <w:pStyle w:val="BodyText"/>
        <w:spacing w:line="354" w:lineRule="auto"/>
        <w:rPr/>
      </w:pPr>
      <w:r/>
    </w:p>
    <w:p>
      <w:pPr>
        <w:ind w:firstLine="762"/>
        <w:spacing w:before="100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202</w:t>
      </w:r>
      <w:r>
        <w:rPr>
          <w:rFonts w:ascii="FangSong" w:hAnsi="FangSong" w:eastAsia="FangSong" w:cs="FangSong"/>
          <w:sz w:val="31"/>
          <w:szCs w:val="31"/>
          <w:spacing w:val="10"/>
        </w:rPr>
        <w:t>3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年度本年支出决算合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万元，其中：</w:t>
      </w:r>
    </w:p>
    <w:p>
      <w:pPr>
        <w:ind w:left="490"/>
        <w:spacing w:before="302" w:line="2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本年基本支出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14.20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3.84</w:t>
      </w:r>
      <w:r>
        <w:rPr>
          <w:rFonts w:ascii="FangSong" w:hAnsi="FangSong" w:eastAsia="FangSong" w:cs="FangSong"/>
          <w:sz w:val="31"/>
          <w:szCs w:val="31"/>
          <w:spacing w:val="-3"/>
        </w:rPr>
        <w:t>%；</w:t>
      </w:r>
    </w:p>
    <w:p>
      <w:pPr>
        <w:pStyle w:val="BodyText"/>
        <w:spacing w:line="350" w:lineRule="auto"/>
        <w:rPr/>
      </w:pPr>
      <w:r/>
    </w:p>
    <w:p>
      <w:pPr>
        <w:ind w:left="490" w:right="3447"/>
        <w:spacing w:before="101" w:line="50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本年项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目支出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>355.70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>96.16</w:t>
      </w:r>
      <w:r>
        <w:rPr>
          <w:rFonts w:ascii="FangSong" w:hAnsi="FangSong" w:eastAsia="FangSong" w:cs="FangSong"/>
          <w:sz w:val="31"/>
          <w:szCs w:val="31"/>
          <w:spacing w:val="-6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本年上缴上级支出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>0.00</w:t>
      </w:r>
      <w:r>
        <w:rPr>
          <w:rFonts w:ascii="FangSong" w:hAnsi="FangSong" w:eastAsia="FangSong" w:cs="FangSong"/>
          <w:sz w:val="31"/>
          <w:szCs w:val="31"/>
          <w:spacing w:val="-8"/>
        </w:rPr>
        <w:t>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本年经营支出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0.00</w:t>
      </w:r>
      <w:r>
        <w:rPr>
          <w:rFonts w:ascii="FangSong" w:hAnsi="FangSong" w:eastAsia="FangSong" w:cs="FangSong"/>
          <w:sz w:val="31"/>
          <w:szCs w:val="31"/>
          <w:spacing w:val="-7"/>
        </w:rPr>
        <w:t>%；</w:t>
      </w:r>
    </w:p>
    <w:p>
      <w:pPr>
        <w:spacing w:line="502" w:lineRule="auto"/>
        <w:sectPr>
          <w:footerReference w:type="default" r:id="rId8"/>
          <w:pgSz w:w="11906" w:h="16839"/>
          <w:pgMar w:top="1431" w:right="1084" w:bottom="1091" w:left="1106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01"/>
        <w:spacing w:before="143" w:line="2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本年对附属单位补助支出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0.00</w:t>
      </w:r>
      <w:r>
        <w:rPr>
          <w:rFonts w:ascii="FangSong" w:hAnsi="FangSong" w:eastAsia="FangSong" w:cs="FangSong"/>
          <w:sz w:val="31"/>
          <w:szCs w:val="31"/>
          <w:spacing w:val="-3"/>
        </w:rPr>
        <w:t>%。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673"/>
        <w:spacing w:line="4781" w:lineRule="exact"/>
        <w:rPr/>
      </w:pPr>
      <w:r>
        <w:rPr>
          <w:position w:val="-95"/>
        </w:rPr>
        <w:drawing>
          <wp:inline distT="0" distB="0" distL="0" distR="0">
            <wp:extent cx="5304154" cy="3035934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4154" cy="303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457"/>
        <w:spacing w:before="101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四、财政拨款收入支出决算总体情况说明</w:t>
      </w:r>
    </w:p>
    <w:p>
      <w:pPr>
        <w:pStyle w:val="BodyText"/>
        <w:spacing w:line="355" w:lineRule="auto"/>
        <w:rPr/>
      </w:pPr>
      <w:r/>
    </w:p>
    <w:p>
      <w:pPr>
        <w:ind w:firstLine="855"/>
        <w:spacing w:before="101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2023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年度财政拨款收入、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支出决算总计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万元，与年初预算相比，收、支总</w:t>
      </w:r>
      <w:r>
        <w:rPr>
          <w:rFonts w:ascii="FangSong" w:hAnsi="FangSong" w:eastAsia="FangSong" w:cs="FangSong"/>
          <w:sz w:val="31"/>
          <w:szCs w:val="31"/>
          <w:spacing w:val="1"/>
        </w:rPr>
        <w:t>计各减少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5.65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万元，减少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1.53</w:t>
      </w:r>
      <w:r>
        <w:rPr>
          <w:rFonts w:ascii="FangSong" w:hAnsi="FangSong" w:eastAsia="FangSong" w:cs="FangSong"/>
          <w:sz w:val="31"/>
          <w:szCs w:val="31"/>
          <w:spacing w:val="5"/>
        </w:rPr>
        <w:t>%，变动原因：年初预算退休职工全年交通补助工资，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按照相关规定未予全部发放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；与上年决算相比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，收、支总计各增加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264.93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252.38</w:t>
      </w:r>
      <w:r>
        <w:rPr>
          <w:rFonts w:ascii="FangSong" w:hAnsi="FangSong" w:eastAsia="FangSong" w:cs="FangSong"/>
          <w:sz w:val="31"/>
          <w:szCs w:val="31"/>
          <w:spacing w:val="3"/>
        </w:rPr>
        <w:t>%，变动原因：由于文化宫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年新增机构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运行经费。</w:t>
      </w:r>
    </w:p>
    <w:p>
      <w:pPr>
        <w:ind w:left="645"/>
        <w:spacing w:before="307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五、一般公共预算财政拨款支出决算情况说明</w:t>
      </w:r>
    </w:p>
    <w:p>
      <w:pPr>
        <w:spacing w:line="241" w:lineRule="auto"/>
        <w:sectPr>
          <w:footerReference w:type="default" r:id="rId10"/>
          <w:pgSz w:w="11906" w:h="16839"/>
          <w:pgMar w:top="1431" w:right="1083" w:bottom="1091" w:left="1094" w:header="0" w:footer="929" w:gutter="0"/>
        </w:sectPr>
        <w:rPr>
          <w:rFonts w:ascii="KaiTi" w:hAnsi="KaiTi" w:eastAsia="KaiTi" w:cs="KaiTi"/>
          <w:sz w:val="31"/>
          <w:szCs w:val="31"/>
        </w:rPr>
      </w:pPr>
    </w:p>
    <w:p>
      <w:pPr>
        <w:ind w:left="2" w:firstLine="685"/>
        <w:spacing w:before="142" w:line="35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年度一般公共预算财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3"/>
        </w:rPr>
        <w:t>政拨款支出决算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万元。与年初预算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369.90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万元相比，完成年初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预算的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100.00</w:t>
      </w:r>
      <w:r>
        <w:rPr>
          <w:rFonts w:ascii="FangSong" w:hAnsi="FangSong" w:eastAsia="FangSong" w:cs="FangSong"/>
          <w:sz w:val="31"/>
          <w:szCs w:val="31"/>
        </w:rPr>
        <w:t>%。其中：</w:t>
      </w:r>
    </w:p>
    <w:p>
      <w:pPr>
        <w:ind w:left="368"/>
        <w:spacing w:before="303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12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8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12"/>
          <w:position w:val="1"/>
        </w:rPr>
        <w:t>一</w:t>
      </w:r>
      <w:r>
        <w:rPr>
          <w:rFonts w:ascii="FangSong" w:hAnsi="FangSong" w:eastAsia="FangSong" w:cs="FangSong"/>
          <w:sz w:val="31"/>
          <w:szCs w:val="31"/>
          <w:spacing w:val="-6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12"/>
          <w:position w:val="1"/>
        </w:rPr>
        <w:t>）一般公共服务（</w:t>
      </w:r>
      <w:r>
        <w:rPr>
          <w:rFonts w:ascii="FangSong" w:hAnsi="FangSong" w:eastAsia="FangSong" w:cs="FangSong"/>
          <w:sz w:val="31"/>
          <w:szCs w:val="31"/>
          <w:spacing w:val="-7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12"/>
          <w:position w:val="1"/>
        </w:rPr>
        <w:t>类）</w:t>
      </w:r>
    </w:p>
    <w:p>
      <w:pPr>
        <w:pStyle w:val="BodyText"/>
        <w:spacing w:line="350" w:lineRule="auto"/>
        <w:rPr/>
      </w:pPr>
      <w:r/>
    </w:p>
    <w:p>
      <w:pPr>
        <w:ind w:left="16" w:firstLine="797"/>
        <w:spacing w:before="100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一般公共服务类决算数为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304.61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万元，与年初预算</w:t>
      </w:r>
      <w:r>
        <w:rPr>
          <w:rFonts w:ascii="FangSong" w:hAnsi="FangSong" w:eastAsia="FangSong" w:cs="FangSong"/>
          <w:sz w:val="31"/>
          <w:szCs w:val="31"/>
          <w:spacing w:val="-2"/>
        </w:rPr>
        <w:t>相比减少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1.9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万元。其中：</w:t>
      </w:r>
    </w:p>
    <w:p>
      <w:pPr>
        <w:ind w:left="8" w:firstLine="656"/>
        <w:spacing w:before="304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群众团体事务（款）行事业运行（项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）。年初预算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306.51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支出决算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304.61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99.38</w:t>
      </w:r>
      <w:r>
        <w:rPr>
          <w:rFonts w:ascii="FangSong" w:hAnsi="FangSong" w:eastAsia="FangSong" w:cs="FangSong"/>
          <w:sz w:val="31"/>
          <w:szCs w:val="31"/>
          <w:spacing w:val="3"/>
        </w:rPr>
        <w:t>%。决算数与年初预</w:t>
      </w:r>
      <w:r>
        <w:rPr>
          <w:rFonts w:ascii="FangSong" w:hAnsi="FangSong" w:eastAsia="FangSong" w:cs="FangSong"/>
          <w:sz w:val="31"/>
          <w:szCs w:val="31"/>
          <w:spacing w:val="2"/>
        </w:rPr>
        <w:t>算数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的差异原因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：年初预算退休职工全年交通补助工资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，按照相关规定未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予全部发放。</w:t>
      </w:r>
    </w:p>
    <w:p>
      <w:pPr>
        <w:ind w:left="408"/>
        <w:spacing w:before="302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74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position w:val="1"/>
        </w:rPr>
        <w:t>二）社会保障和就业支出（</w:t>
      </w:r>
      <w:r>
        <w:rPr>
          <w:rFonts w:ascii="FangSong" w:hAnsi="FangSong" w:eastAsia="FangSong" w:cs="FangSong"/>
          <w:sz w:val="31"/>
          <w:szCs w:val="31"/>
          <w:spacing w:val="-7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position w:val="1"/>
        </w:rPr>
        <w:t>类）</w:t>
      </w:r>
    </w:p>
    <w:p>
      <w:pPr>
        <w:pStyle w:val="BodyText"/>
        <w:spacing w:line="352" w:lineRule="auto"/>
        <w:rPr/>
      </w:pPr>
      <w:r/>
    </w:p>
    <w:p>
      <w:pPr>
        <w:ind w:firstLine="909"/>
        <w:spacing w:before="102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社会保障和就业支出类决算数为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36.55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万元，与年初预算相比减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少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1.49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万元。其中：</w:t>
      </w:r>
    </w:p>
    <w:p>
      <w:pPr>
        <w:ind w:firstLine="495"/>
        <w:spacing w:before="302" w:line="3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1．行政事业单位养老支出（款）行政单位离退休（项）。年初预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算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8.04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8.04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万元，完成年初预</w:t>
      </w:r>
      <w:r>
        <w:rPr>
          <w:rFonts w:ascii="FangSong" w:hAnsi="FangSong" w:eastAsia="FangSong" w:cs="FangSong"/>
          <w:sz w:val="31"/>
          <w:szCs w:val="31"/>
          <w:spacing w:val="-3"/>
        </w:rPr>
        <w:t>算的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100</w:t>
      </w:r>
      <w:r>
        <w:rPr>
          <w:rFonts w:ascii="FangSong" w:hAnsi="FangSong" w:eastAsia="FangSong" w:cs="FangSong"/>
          <w:sz w:val="31"/>
          <w:szCs w:val="31"/>
          <w:spacing w:val="-3"/>
        </w:rPr>
        <w:t>%。决算数与年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初预算数的差异原因：本年无差异。</w:t>
      </w:r>
    </w:p>
    <w:p>
      <w:pPr>
        <w:pStyle w:val="BodyText"/>
        <w:spacing w:line="350" w:lineRule="auto"/>
        <w:rPr/>
      </w:pPr>
      <w:r/>
    </w:p>
    <w:p>
      <w:pPr>
        <w:ind w:left="8" w:firstLine="733"/>
        <w:spacing w:before="102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2．行政事业单位养老支出（款）机关事业单位基本养老保险缴费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支出（项）。年初预算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20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19.01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万元，完成年初预算</w:t>
      </w:r>
    </w:p>
    <w:p>
      <w:pPr>
        <w:spacing w:line="308" w:lineRule="auto"/>
        <w:sectPr>
          <w:footerReference w:type="default" r:id="rId12"/>
          <w:pgSz w:w="11906" w:h="16839"/>
          <w:pgMar w:top="1431" w:right="1083" w:bottom="1091" w:left="1098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9" w:right="252" w:firstLine="17"/>
        <w:spacing w:before="143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"/>
        </w:rPr>
        <w:t>95.05</w:t>
      </w:r>
      <w:r>
        <w:rPr>
          <w:rFonts w:ascii="FangSong" w:hAnsi="FangSong" w:eastAsia="FangSong" w:cs="FangSong"/>
          <w:sz w:val="31"/>
          <w:szCs w:val="31"/>
          <w:spacing w:val="4"/>
        </w:rPr>
        <w:t>%。决算数与年初预算数的差异</w:t>
      </w:r>
      <w:r>
        <w:rPr>
          <w:rFonts w:ascii="FangSong" w:hAnsi="FangSong" w:eastAsia="FangSong" w:cs="FangSong"/>
          <w:sz w:val="31"/>
          <w:szCs w:val="31"/>
          <w:spacing w:val="3"/>
        </w:rPr>
        <w:t>原因：2023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年新调入人员从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4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月份开始缴纳社会保险。</w:t>
      </w:r>
    </w:p>
    <w:p>
      <w:pPr>
        <w:ind w:firstLine="675"/>
        <w:spacing w:before="304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3．行政事业单位养老支出（款）机关事业单位职业年金缴费支出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（项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）。年初预算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万元，支出决算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9.5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95</w:t>
      </w:r>
      <w:r>
        <w:rPr>
          <w:rFonts w:ascii="FangSong" w:hAnsi="FangSong" w:eastAsia="FangSong" w:cs="FangSong"/>
          <w:sz w:val="31"/>
          <w:szCs w:val="31"/>
          <w:spacing w:val="-1"/>
        </w:rPr>
        <w:t>%。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决算数与年初预算数的差异原因：2023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年新调入人员从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4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月份开始缴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纳职业年金保险。</w:t>
      </w:r>
    </w:p>
    <w:p>
      <w:pPr>
        <w:ind w:left="549"/>
        <w:spacing w:before="304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7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1"/>
        </w:rPr>
        <w:t>三）卫生健康支出（</w:t>
      </w:r>
      <w:r>
        <w:rPr>
          <w:rFonts w:ascii="FangSong" w:hAnsi="FangSong" w:eastAsia="FangSong" w:cs="FangSong"/>
          <w:sz w:val="31"/>
          <w:szCs w:val="31"/>
          <w:spacing w:val="-7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1"/>
        </w:rPr>
        <w:t>类）</w:t>
      </w:r>
    </w:p>
    <w:p>
      <w:pPr>
        <w:pStyle w:val="BodyText"/>
        <w:spacing w:line="350" w:lineRule="auto"/>
        <w:rPr/>
      </w:pPr>
      <w:r/>
    </w:p>
    <w:p>
      <w:pPr>
        <w:ind w:left="1014"/>
        <w:spacing w:before="101" w:line="2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卫生健康支出类决算数为</w:t>
      </w:r>
      <w:r>
        <w:rPr>
          <w:rFonts w:ascii="FangSong" w:hAnsi="FangSong" w:eastAsia="FangSong" w:cs="FangSong"/>
          <w:sz w:val="31"/>
          <w:szCs w:val="31"/>
          <w:spacing w:val="-12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5"/>
        </w:rPr>
        <w:t>10.58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万元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，与年初预算相比减少</w:t>
      </w:r>
    </w:p>
    <w:p>
      <w:pPr>
        <w:ind w:left="24"/>
        <w:spacing w:before="213" w:line="2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>1.42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万元。其中：</w:t>
      </w:r>
    </w:p>
    <w:p>
      <w:pPr>
        <w:pStyle w:val="BodyText"/>
        <w:spacing w:line="348" w:lineRule="auto"/>
        <w:rPr/>
      </w:pPr>
      <w:r/>
    </w:p>
    <w:p>
      <w:pPr>
        <w:ind w:left="34" w:right="120" w:firstLine="486"/>
        <w:spacing w:before="102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1．行政事业单位医疗（款）行政单位医疗（项）。年初预算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>12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元，支出决算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10.58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88.17</w:t>
      </w:r>
      <w:r>
        <w:rPr>
          <w:rFonts w:ascii="FangSong" w:hAnsi="FangSong" w:eastAsia="FangSong" w:cs="FangSong"/>
          <w:sz w:val="31"/>
          <w:szCs w:val="31"/>
          <w:spacing w:val="-1"/>
        </w:rPr>
        <w:t>%。决</w:t>
      </w:r>
      <w:r>
        <w:rPr>
          <w:rFonts w:ascii="FangSong" w:hAnsi="FangSong" w:eastAsia="FangSong" w:cs="FangSong"/>
          <w:sz w:val="31"/>
          <w:szCs w:val="31"/>
          <w:spacing w:val="-2"/>
        </w:rPr>
        <w:t>算数与年初预算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数的差异原因：2023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年新调入人员从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4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月份开始缴纳医疗保</w:t>
      </w:r>
      <w:r>
        <w:rPr>
          <w:rFonts w:ascii="FangSong" w:hAnsi="FangSong" w:eastAsia="FangSong" w:cs="FangSong"/>
          <w:sz w:val="31"/>
          <w:szCs w:val="31"/>
          <w:spacing w:val="5"/>
        </w:rPr>
        <w:t>险。</w:t>
      </w:r>
    </w:p>
    <w:p>
      <w:pPr>
        <w:ind w:left="34" w:right="120" w:firstLine="484"/>
        <w:spacing w:before="303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2．行政事业单位医疗（款）事业单位医疗（项）。年初预算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>12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元，支出决算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10.58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88.17</w:t>
      </w:r>
      <w:r>
        <w:rPr>
          <w:rFonts w:ascii="FangSong" w:hAnsi="FangSong" w:eastAsia="FangSong" w:cs="FangSong"/>
          <w:sz w:val="31"/>
          <w:szCs w:val="31"/>
          <w:spacing w:val="-1"/>
        </w:rPr>
        <w:t>%。决</w:t>
      </w:r>
      <w:r>
        <w:rPr>
          <w:rFonts w:ascii="FangSong" w:hAnsi="FangSong" w:eastAsia="FangSong" w:cs="FangSong"/>
          <w:sz w:val="31"/>
          <w:szCs w:val="31"/>
          <w:spacing w:val="-2"/>
        </w:rPr>
        <w:t>算数与年初预算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数的差异原因：2023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年新调入人员从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4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月份开始缴纳医疗保</w:t>
      </w:r>
      <w:r>
        <w:rPr>
          <w:rFonts w:ascii="FangSong" w:hAnsi="FangSong" w:eastAsia="FangSong" w:cs="FangSong"/>
          <w:sz w:val="31"/>
          <w:szCs w:val="31"/>
          <w:spacing w:val="5"/>
        </w:rPr>
        <w:t>险。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393"/>
        <w:spacing w:before="102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51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四）住房保障支出（</w:t>
      </w:r>
      <w:r>
        <w:rPr>
          <w:rFonts w:ascii="FangSong" w:hAnsi="FangSong" w:eastAsia="FangSong" w:cs="FangSong"/>
          <w:sz w:val="31"/>
          <w:szCs w:val="31"/>
          <w:spacing w:val="-7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6"/>
          <w:position w:val="1"/>
        </w:rPr>
        <w:t>类）</w:t>
      </w:r>
    </w:p>
    <w:p>
      <w:pPr>
        <w:pStyle w:val="BodyText"/>
        <w:spacing w:line="352" w:lineRule="auto"/>
        <w:rPr/>
      </w:pPr>
      <w:r/>
    </w:p>
    <w:p>
      <w:pPr>
        <w:ind w:left="41" w:right="170" w:firstLine="688"/>
        <w:spacing w:before="102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住房保障支出类决算数为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18.17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万元，与年初预算相比减少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0.83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万元。其中：</w:t>
      </w:r>
    </w:p>
    <w:p>
      <w:pPr>
        <w:spacing w:line="353" w:lineRule="auto"/>
        <w:sectPr>
          <w:footerReference w:type="default" r:id="rId13"/>
          <w:pgSz w:w="11906" w:h="16839"/>
          <w:pgMar w:top="1431" w:right="964" w:bottom="1091" w:left="107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2" w:right="2" w:firstLine="671"/>
        <w:spacing w:before="141" w:line="35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1．住房改革支出（款）住房公积金（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项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）。年初预</w:t>
      </w:r>
      <w:r>
        <w:rPr>
          <w:rFonts w:ascii="FangSong" w:hAnsi="FangSong" w:eastAsia="FangSong" w:cs="FangSong"/>
          <w:sz w:val="31"/>
          <w:szCs w:val="31"/>
          <w:spacing w:val="4"/>
        </w:rPr>
        <w:t>算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"/>
        </w:rPr>
        <w:t>19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支出决算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18.17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95.6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4</w:t>
      </w:r>
      <w:r>
        <w:rPr>
          <w:rFonts w:ascii="FangSong" w:hAnsi="FangSong" w:eastAsia="FangSong" w:cs="FangSong"/>
          <w:sz w:val="31"/>
          <w:szCs w:val="31"/>
          <w:spacing w:val="-2"/>
        </w:rPr>
        <w:t>%。决算数与年初预算数的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差异原因：2023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年新调入人员从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4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月份开始缴纳医疗保险。</w:t>
      </w:r>
    </w:p>
    <w:p>
      <w:pPr>
        <w:ind w:left="415"/>
        <w:spacing w:before="304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  <w:position w:val="1"/>
        </w:rPr>
        <w:t>六、一般公共预算财政拨款基本支出决算情况说明</w:t>
      </w:r>
    </w:p>
    <w:p>
      <w:pPr>
        <w:pStyle w:val="BodyText"/>
        <w:spacing w:line="350" w:lineRule="auto"/>
        <w:rPr/>
      </w:pPr>
      <w:r/>
    </w:p>
    <w:p>
      <w:pPr>
        <w:ind w:left="6" w:firstLine="867"/>
        <w:spacing w:before="100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2023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年度一般公共预算财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政拨款基本支出决算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14.20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万元，其中：</w:t>
      </w:r>
    </w:p>
    <w:p>
      <w:pPr>
        <w:ind w:left="13" w:right="2" w:firstLine="624"/>
        <w:spacing w:before="303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1"/>
        </w:rPr>
        <w:t>（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1"/>
        </w:rPr>
        <w:t>一）人员经费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10.35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1"/>
        </w:rPr>
        <w:t>万元</w:t>
      </w:r>
      <w:r>
        <w:rPr>
          <w:rFonts w:ascii="FangSong" w:hAnsi="FangSong" w:eastAsia="FangSong" w:cs="FangSong"/>
          <w:sz w:val="31"/>
          <w:szCs w:val="31"/>
          <w:spacing w:val="-1"/>
        </w:rPr>
        <w:t>。主要包括：退休费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8.04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万元、生活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补助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2.31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万元。</w:t>
      </w:r>
    </w:p>
    <w:p>
      <w:pPr>
        <w:pStyle w:val="BodyText"/>
        <w:spacing w:line="349" w:lineRule="auto"/>
        <w:rPr/>
      </w:pPr>
      <w:r/>
    </w:p>
    <w:p>
      <w:pPr>
        <w:ind w:left="409" w:right="220" w:firstLine="202"/>
        <w:spacing w:before="101" w:line="4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（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二）公用经费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3.85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万元</w:t>
      </w:r>
      <w:r>
        <w:rPr>
          <w:rFonts w:ascii="FangSong" w:hAnsi="FangSong" w:eastAsia="FangSong" w:cs="FangSong"/>
          <w:sz w:val="31"/>
          <w:szCs w:val="31"/>
          <w:spacing w:val="-2"/>
        </w:rPr>
        <w:t>。主要包括：其他交通费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3.85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七、一般公共预算财政拨款项目支出决算情况说明</w:t>
      </w:r>
    </w:p>
    <w:p>
      <w:pPr>
        <w:ind w:left="6" w:right="2" w:firstLine="702"/>
        <w:spacing w:before="63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2023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年度一般</w:t>
      </w:r>
      <w:r>
        <w:rPr>
          <w:rFonts w:ascii="FangSong" w:hAnsi="FangSong" w:eastAsia="FangSong" w:cs="FangSong"/>
          <w:sz w:val="31"/>
          <w:szCs w:val="31"/>
          <w:spacing w:val="12"/>
        </w:rPr>
        <w:t>公共预算财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政拨款项目支出决算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355.70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万元，其中：</w:t>
      </w:r>
    </w:p>
    <w:p>
      <w:pPr>
        <w:ind w:firstLine="463"/>
        <w:spacing w:before="303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1"/>
        </w:rPr>
        <w:t>一）工资福利支出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57.25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1"/>
        </w:rPr>
        <w:t>万元</w:t>
      </w:r>
      <w:r>
        <w:rPr>
          <w:rFonts w:ascii="FangSong" w:hAnsi="FangSong" w:eastAsia="FangSong" w:cs="FangSong"/>
          <w:sz w:val="31"/>
          <w:szCs w:val="31"/>
          <w:spacing w:val="1"/>
        </w:rPr>
        <w:t>。主要包括：机关事业单位基本养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老保险缴费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19.01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万元、职业年金缴费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9.5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万元、职工基本医疗保险缴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费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10.58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万元、住房公积金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18.17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万元。</w:t>
      </w:r>
    </w:p>
    <w:p>
      <w:pPr>
        <w:ind w:left="12" w:right="2" w:firstLine="486"/>
        <w:spacing w:before="305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（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二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）商品和服务支出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298.45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2"/>
        </w:rPr>
        <w:t>万元</w:t>
      </w:r>
      <w:r>
        <w:rPr>
          <w:rFonts w:ascii="FangSong" w:hAnsi="FangSong" w:eastAsia="FangSong" w:cs="FangSong"/>
          <w:sz w:val="31"/>
          <w:szCs w:val="31"/>
          <w:spacing w:val="-2"/>
        </w:rPr>
        <w:t>。主要包括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：取暖费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96.</w:t>
      </w:r>
      <w:r>
        <w:rPr>
          <w:rFonts w:ascii="FangSong" w:hAnsi="FangSong" w:eastAsia="FangSong" w:cs="FangSong"/>
          <w:sz w:val="31"/>
          <w:szCs w:val="31"/>
          <w:spacing w:val="-3"/>
        </w:rPr>
        <w:t>43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元、物业管理费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202.02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</w:t>
      </w:r>
    </w:p>
    <w:p>
      <w:pPr>
        <w:ind w:left="422"/>
        <w:spacing w:before="305" w:line="4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  <w:position w:val="1"/>
        </w:rPr>
        <w:t>八、财政拨款“</w:t>
      </w:r>
      <w:r>
        <w:rPr>
          <w:rFonts w:ascii="FangSong" w:hAnsi="FangSong" w:eastAsia="FangSong" w:cs="FangSong"/>
          <w:sz w:val="31"/>
          <w:szCs w:val="31"/>
          <w:spacing w:val="-11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  <w:position w:val="1"/>
        </w:rPr>
        <w:t>三公”经费支出决算情况说明</w:t>
      </w:r>
    </w:p>
    <w:p>
      <w:pPr>
        <w:spacing w:line="410" w:lineRule="exact"/>
        <w:sectPr>
          <w:footerReference w:type="default" r:id="rId14"/>
          <w:pgSz w:w="11906" w:h="16839"/>
          <w:pgMar w:top="1431" w:right="1082" w:bottom="1091" w:left="1094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70"/>
        <w:spacing w:before="142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8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一）财政拨款“</w:t>
      </w:r>
      <w:r>
        <w:rPr>
          <w:rFonts w:ascii="FangSong" w:hAnsi="FangSong" w:eastAsia="FangSong" w:cs="FangSong"/>
          <w:sz w:val="31"/>
          <w:szCs w:val="31"/>
          <w:spacing w:val="-11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三公”经费支出总体情况说明。</w:t>
      </w:r>
    </w:p>
    <w:p>
      <w:pPr>
        <w:pStyle w:val="BodyText"/>
        <w:spacing w:line="348" w:lineRule="auto"/>
        <w:rPr/>
      </w:pPr>
      <w:r/>
    </w:p>
    <w:p>
      <w:pPr>
        <w:ind w:firstLine="844"/>
        <w:spacing w:before="101" w:line="36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2023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年度财政拨款“三公”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经费全年预算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万元，完成预算的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0</w:t>
      </w:r>
      <w:r>
        <w:rPr>
          <w:rFonts w:ascii="FangSong" w:hAnsi="FangSong" w:eastAsia="FangSong" w:cs="FangSong"/>
          <w:sz w:val="31"/>
          <w:szCs w:val="31"/>
          <w:spacing w:val="-2"/>
        </w:rPr>
        <w:t>%。其中：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因公出国（境）费全年预算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，支</w:t>
      </w:r>
      <w:r>
        <w:rPr>
          <w:rFonts w:ascii="FangSong" w:hAnsi="FangSong" w:eastAsia="FangSong" w:cs="FangSong"/>
          <w:sz w:val="31"/>
          <w:szCs w:val="31"/>
          <w:spacing w:val="1"/>
        </w:rPr>
        <w:t>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，完成预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7"/>
        </w:rPr>
        <w:t>算的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spacing w:val="7"/>
        </w:rPr>
        <w:t>%；公务用车购置及运行维护费全年预算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，支出决算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，完成预算的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2"/>
        </w:rPr>
        <w:t>%；公务接待费全</w:t>
      </w:r>
      <w:r>
        <w:rPr>
          <w:rFonts w:ascii="FangSong" w:hAnsi="FangSong" w:eastAsia="FangSong" w:cs="FangSong"/>
          <w:sz w:val="31"/>
          <w:szCs w:val="31"/>
          <w:spacing w:val="1"/>
        </w:rPr>
        <w:t>年预算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，支出决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万元，完成预算的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spacing w:val="5"/>
        </w:rPr>
        <w:t>%。2023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</w:t>
      </w:r>
      <w:r>
        <w:rPr>
          <w:rFonts w:ascii="FangSong" w:hAnsi="FangSong" w:eastAsia="FangSong" w:cs="FangSong"/>
          <w:sz w:val="31"/>
          <w:szCs w:val="31"/>
          <w:spacing w:val="4"/>
        </w:rPr>
        <w:t>度一般公共预算财政拨款“</w:t>
      </w:r>
      <w:r>
        <w:rPr>
          <w:rFonts w:ascii="FangSong" w:hAnsi="FangSong" w:eastAsia="FangSong" w:cs="FangSong"/>
          <w:sz w:val="31"/>
          <w:szCs w:val="31"/>
          <w:spacing w:val="-1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三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9"/>
        </w:rPr>
        <w:t>公”经费支出决算与预算差异原因：不存在此项</w:t>
      </w:r>
      <w:r>
        <w:rPr>
          <w:rFonts w:ascii="FangSong" w:hAnsi="FangSong" w:eastAsia="FangSong" w:cs="FangSong"/>
          <w:sz w:val="31"/>
          <w:szCs w:val="31"/>
          <w:spacing w:val="8"/>
        </w:rPr>
        <w:t>内容。</w:t>
      </w:r>
    </w:p>
    <w:p>
      <w:pPr>
        <w:ind w:left="370"/>
        <w:spacing w:before="307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8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二）财政拨款“</w:t>
      </w:r>
      <w:r>
        <w:rPr>
          <w:rFonts w:ascii="FangSong" w:hAnsi="FangSong" w:eastAsia="FangSong" w:cs="FangSong"/>
          <w:sz w:val="31"/>
          <w:szCs w:val="31"/>
          <w:spacing w:val="-11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三公”经费支出具体情况说明。</w:t>
      </w:r>
    </w:p>
    <w:p>
      <w:pPr>
        <w:pStyle w:val="BodyText"/>
        <w:spacing w:line="352" w:lineRule="auto"/>
        <w:rPr/>
      </w:pPr>
      <w:r/>
    </w:p>
    <w:p>
      <w:pPr>
        <w:ind w:left="7" w:firstLine="836"/>
        <w:spacing w:before="100" w:line="362" w:lineRule="auto"/>
        <w:tabs>
          <w:tab w:val="left" w:pos="10040"/>
        </w:tabs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2023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年度财政拨款“三公”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经费支出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万元。因公出国（境）费支出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</w:t>
      </w:r>
      <w:r>
        <w:rPr>
          <w:rFonts w:ascii="FangSong" w:hAnsi="FangSong" w:eastAsia="FangSong" w:cs="FangSong"/>
          <w:sz w:val="31"/>
          <w:szCs w:val="31"/>
          <w:spacing w:val="-1"/>
        </w:rPr>
        <w:t>%</w:t>
      </w:r>
      <w:r>
        <w:rPr>
          <w:rFonts w:ascii="FangSong" w:hAnsi="FangSong" w:eastAsia="FangSong" w:cs="FangSong"/>
          <w:sz w:val="31"/>
          <w:szCs w:val="31"/>
          <w:spacing w:val="-2"/>
        </w:rPr>
        <w:t>；公务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用车购置及运行维护费支出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</w:t>
      </w:r>
      <w:r>
        <w:rPr>
          <w:rFonts w:ascii="FangSong" w:hAnsi="FangSong" w:eastAsia="FangSong" w:cs="FangSong"/>
          <w:sz w:val="31"/>
          <w:szCs w:val="31"/>
        </w:rPr>
        <w:t>%；公务接待费支出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0.00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</w:t>
      </w:r>
      <w:r>
        <w:rPr>
          <w:rFonts w:ascii="FangSong" w:hAnsi="FangSong" w:eastAsia="FangSong" w:cs="FangSong"/>
          <w:sz w:val="31"/>
          <w:szCs w:val="31"/>
          <w:spacing w:val="-1"/>
        </w:rPr>
        <w:t>%。其中：</w:t>
      </w:r>
    </w:p>
    <w:p>
      <w:pPr>
        <w:ind w:left="13" w:right="218" w:firstLine="501"/>
        <w:spacing w:before="304" w:line="35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1.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因公出国（境）费支出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万元，全年出国（境）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团组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个，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累计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人次。与上年决算相比，增加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</w:t>
      </w:r>
      <w:r>
        <w:rPr>
          <w:rFonts w:ascii="FangSong" w:hAnsi="FangSong" w:eastAsia="FangSong" w:cs="FangSong"/>
          <w:sz w:val="31"/>
          <w:szCs w:val="31"/>
          <w:spacing w:val="-1"/>
        </w:rPr>
        <w:t>%，变动原因：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不存在此项内容。</w:t>
      </w:r>
    </w:p>
    <w:p>
      <w:pPr>
        <w:ind w:left="495"/>
        <w:spacing w:before="307" w:line="24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2.公务用车购置及运行维护费支出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万元。其中：</w:t>
      </w:r>
    </w:p>
    <w:p>
      <w:pPr>
        <w:pStyle w:val="BodyText"/>
        <w:spacing w:line="356" w:lineRule="auto"/>
        <w:rPr/>
      </w:pPr>
      <w:r/>
    </w:p>
    <w:p>
      <w:pPr>
        <w:ind w:left="7" w:right="314" w:firstLine="456"/>
        <w:spacing w:before="101" w:line="35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（1）公务用车购置支出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万元。本年度使用财政拨款</w:t>
      </w:r>
      <w:r>
        <w:rPr>
          <w:rFonts w:ascii="FangSong" w:hAnsi="FangSong" w:eastAsia="FangSong" w:cs="FangSong"/>
          <w:sz w:val="31"/>
          <w:szCs w:val="31"/>
          <w:spacing w:val="4"/>
        </w:rPr>
        <w:t>购置公务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用车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辆，开支内容：不存在此项内容。与上年决算相比，增加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"/>
        </w:rPr>
        <w:t>.00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8"/>
        </w:rPr>
        <w:t>0</w:t>
      </w:r>
      <w:r>
        <w:rPr>
          <w:rFonts w:ascii="FangSong" w:hAnsi="FangSong" w:eastAsia="FangSong" w:cs="FangSong"/>
          <w:sz w:val="31"/>
          <w:szCs w:val="31"/>
          <w:spacing w:val="8"/>
        </w:rPr>
        <w:t>%，变动原因：不存在此项内容。</w:t>
      </w:r>
    </w:p>
    <w:p>
      <w:pPr>
        <w:spacing w:line="358" w:lineRule="auto"/>
        <w:sectPr>
          <w:footerReference w:type="default" r:id="rId15"/>
          <w:pgSz w:w="11906" w:h="16839"/>
          <w:pgMar w:top="1431" w:right="768" w:bottom="1091" w:left="1096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100" w:firstLine="464"/>
        <w:spacing w:before="139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（2）公务用车运行维护费支出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万元。公务用车</w:t>
      </w:r>
      <w:r>
        <w:rPr>
          <w:rFonts w:ascii="FangSong" w:hAnsi="FangSong" w:eastAsia="FangSong" w:cs="FangSong"/>
          <w:sz w:val="31"/>
          <w:szCs w:val="31"/>
          <w:spacing w:val="4"/>
        </w:rPr>
        <w:t>运行维护费主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要用于按规定保留的公务用车的燃料费、维修费、过桥过路费、保险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费、安全奖励费用等支出。截至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2023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12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月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31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日，使用财政拨款开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支的公务用车保有量为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辆。与上年决算相比，增</w:t>
      </w:r>
      <w:r>
        <w:rPr>
          <w:rFonts w:ascii="FangSong" w:hAnsi="FangSong" w:eastAsia="FangSong" w:cs="FangSong"/>
          <w:sz w:val="31"/>
          <w:szCs w:val="31"/>
          <w:spacing w:val="1"/>
        </w:rPr>
        <w:t>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万元，增长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8"/>
        </w:rPr>
        <w:t>0</w:t>
      </w:r>
      <w:r>
        <w:rPr>
          <w:rFonts w:ascii="FangSong" w:hAnsi="FangSong" w:eastAsia="FangSong" w:cs="FangSong"/>
          <w:sz w:val="31"/>
          <w:szCs w:val="31"/>
          <w:spacing w:val="8"/>
        </w:rPr>
        <w:t>%，变动原因：不存在此项内容。</w:t>
      </w:r>
    </w:p>
    <w:p>
      <w:pPr>
        <w:ind w:left="5" w:firstLine="486"/>
        <w:spacing w:before="308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3.公务接待费支出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万元。其中</w:t>
      </w:r>
      <w:r>
        <w:rPr>
          <w:rFonts w:ascii="FangSong" w:hAnsi="FangSong" w:eastAsia="FangSong" w:cs="FangSong"/>
          <w:sz w:val="31"/>
          <w:szCs w:val="31"/>
          <w:spacing w:val="-6"/>
        </w:rPr>
        <w:t>：国内公务接待支出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接待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批次，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人次，开支内容：不存在此项内容；国（境）外公务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接待支出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万元，接待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批次，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人次，开支内容：不存在此项内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容。与上年决算相比，增加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spacing w:val="5"/>
        </w:rPr>
        <w:t>%，变动原因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：不存在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此项内容。</w:t>
      </w:r>
    </w:p>
    <w:p>
      <w:pPr>
        <w:ind w:left="403"/>
        <w:spacing w:before="304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九、政府性基金预算财政拨款支出决算情况说明</w:t>
      </w:r>
    </w:p>
    <w:p>
      <w:pPr>
        <w:pStyle w:val="BodyText"/>
        <w:spacing w:line="351" w:lineRule="auto"/>
        <w:rPr/>
      </w:pPr>
      <w:r/>
    </w:p>
    <w:p>
      <w:pPr>
        <w:ind w:left="5" w:firstLine="421"/>
        <w:spacing w:before="101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2023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年度政府性基金预算财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政拨款支出决算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万元，增长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>0</w:t>
      </w:r>
      <w:r>
        <w:rPr>
          <w:rFonts w:ascii="FangSong" w:hAnsi="FangSong" w:eastAsia="FangSong" w:cs="FangSong"/>
          <w:sz w:val="31"/>
          <w:szCs w:val="31"/>
          <w:spacing w:val="-12"/>
        </w:rPr>
        <w:t>%，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变动原因：本年无政府性基金预算财政拨款收、支、余。</w:t>
      </w:r>
      <w:r>
        <w:rPr>
          <w:rFonts w:ascii="FangSong" w:hAnsi="FangSong" w:eastAsia="FangSong" w:cs="FangSong"/>
          <w:sz w:val="31"/>
          <w:szCs w:val="31"/>
          <w:spacing w:val="8"/>
        </w:rPr>
        <w:t>其中：</w:t>
      </w:r>
    </w:p>
    <w:p>
      <w:pPr>
        <w:ind w:left="427"/>
        <w:spacing w:before="307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十、国有资本经营预算财政拨款支出决算情况说明</w:t>
      </w:r>
    </w:p>
    <w:p>
      <w:pPr>
        <w:pStyle w:val="BodyText"/>
        <w:spacing w:line="356" w:lineRule="auto"/>
        <w:rPr/>
      </w:pPr>
      <w:r/>
    </w:p>
    <w:p>
      <w:pPr>
        <w:ind w:left="7" w:right="100" w:firstLine="680"/>
        <w:spacing w:before="101" w:line="35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2023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年度国有资本经营预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算财政拨款支出决算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万元。与上年决算相比，增加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增长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8"/>
        </w:rPr>
        <w:t>0</w:t>
      </w:r>
      <w:r>
        <w:rPr>
          <w:rFonts w:ascii="FangSong" w:hAnsi="FangSong" w:eastAsia="FangSong" w:cs="FangSong"/>
          <w:sz w:val="31"/>
          <w:szCs w:val="31"/>
          <w:spacing w:val="8"/>
        </w:rPr>
        <w:t>%，变动原因：本年无国有资本经营预算财政拨款收、支、余。</w:t>
      </w:r>
    </w:p>
    <w:p>
      <w:pPr>
        <w:ind w:left="523"/>
        <w:spacing w:before="306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十一、机构运行经费支出决算情况说明</w:t>
      </w:r>
    </w:p>
    <w:p>
      <w:pPr>
        <w:sectPr>
          <w:footerReference w:type="default" r:id="rId16"/>
          <w:pgSz w:w="11906" w:h="16839"/>
          <w:pgMar w:top="1431" w:right="984" w:bottom="1091" w:left="1096" w:header="0" w:footer="929" w:gutter="0"/>
        </w:sectPr>
        <w:rPr>
          <w:rFonts w:ascii="KaiTi" w:hAnsi="KaiTi" w:eastAsia="KaiTi" w:cs="KaiTi"/>
          <w:sz w:val="31"/>
          <w:szCs w:val="31"/>
        </w:rPr>
      </w:pPr>
    </w:p>
    <w:p>
      <w:pPr>
        <w:ind w:left="17" w:right="20" w:firstLine="686"/>
        <w:spacing w:before="140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2023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年度机构</w:t>
      </w:r>
      <w:r>
        <w:rPr>
          <w:rFonts w:ascii="FangSong" w:hAnsi="FangSong" w:eastAsia="FangSong" w:cs="FangSong"/>
          <w:sz w:val="31"/>
          <w:szCs w:val="31"/>
          <w:spacing w:val="12"/>
        </w:rPr>
        <w:t>运行经费支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出决算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3.85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万元。比上年决算相比，减少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14.78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万元，减少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79.34</w:t>
      </w:r>
      <w:r>
        <w:rPr>
          <w:rFonts w:ascii="FangSong" w:hAnsi="FangSong" w:eastAsia="FangSong" w:cs="FangSong"/>
          <w:sz w:val="31"/>
          <w:szCs w:val="31"/>
          <w:spacing w:val="-1"/>
        </w:rPr>
        <w:t>%，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变动原因：2023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年将主管部门退休职工退休关系</w:t>
      </w:r>
      <w:r>
        <w:rPr>
          <w:rFonts w:ascii="FangSong" w:hAnsi="FangSong" w:eastAsia="FangSong" w:cs="FangSong"/>
          <w:sz w:val="31"/>
          <w:szCs w:val="31"/>
          <w:spacing w:val="6"/>
        </w:rPr>
        <w:t>调整到主管局。</w:t>
      </w:r>
    </w:p>
    <w:p>
      <w:pPr>
        <w:ind w:left="399"/>
        <w:spacing w:before="308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6"/>
        </w:rPr>
        <w:t>十二、政府采购支出决算情况说明</w:t>
      </w:r>
    </w:p>
    <w:p>
      <w:pPr>
        <w:pStyle w:val="BodyText"/>
        <w:spacing w:line="354" w:lineRule="auto"/>
        <w:rPr/>
      </w:pPr>
      <w:r/>
    </w:p>
    <w:p>
      <w:pPr>
        <w:ind w:left="1" w:right="117" w:firstLine="949"/>
        <w:spacing w:before="101" w:line="36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2023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年度政府采购支出总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额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，其中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：政府采购货物支出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万元、政府采购工程支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万元、政府采购服务支出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万元。政府采购授予中小企业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合同金额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万元，占政府采购支出总额的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0</w:t>
      </w:r>
      <w:r>
        <w:rPr>
          <w:rFonts w:ascii="FangSong" w:hAnsi="FangSong" w:eastAsia="FangSong" w:cs="FangSong"/>
          <w:sz w:val="31"/>
          <w:szCs w:val="31"/>
          <w:spacing w:val="1"/>
        </w:rPr>
        <w:t>%，其中：授予小微企业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合同金额</w:t>
      </w:r>
      <w:r>
        <w:rPr>
          <w:rFonts w:ascii="FangSong" w:hAnsi="FangSong" w:eastAsia="FangSong" w:cs="FangSong"/>
          <w:sz w:val="31"/>
          <w:szCs w:val="31"/>
          <w:spacing w:val="-14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1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0.00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占政府采购支出总额的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spacing w:val="5"/>
        </w:rPr>
        <w:t>%；货物采</w:t>
      </w:r>
      <w:r>
        <w:rPr>
          <w:rFonts w:ascii="FangSong" w:hAnsi="FangSong" w:eastAsia="FangSong" w:cs="FangSong"/>
          <w:sz w:val="31"/>
          <w:szCs w:val="31"/>
          <w:spacing w:val="4"/>
        </w:rPr>
        <w:t>购授予中小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企业合同金额占货物支出金额的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>0</w:t>
      </w:r>
      <w:r>
        <w:rPr>
          <w:rFonts w:ascii="FangSong" w:hAnsi="FangSong" w:eastAsia="FangSong" w:cs="FangSong"/>
          <w:sz w:val="31"/>
          <w:szCs w:val="31"/>
          <w:spacing w:val="10"/>
        </w:rPr>
        <w:t>%，工程采购授予中小企业合同金额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占工程支出金额的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0"/>
        </w:rPr>
        <w:t>0</w:t>
      </w:r>
      <w:r>
        <w:rPr>
          <w:rFonts w:ascii="FangSong" w:hAnsi="FangSong" w:eastAsia="FangSong" w:cs="FangSong"/>
          <w:sz w:val="31"/>
          <w:szCs w:val="31"/>
          <w:spacing w:val="10"/>
        </w:rPr>
        <w:t>%，服务采购授予中小企业合同金额占服务支出金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>0</w:t>
      </w:r>
      <w:r>
        <w:rPr>
          <w:rFonts w:ascii="FangSong" w:hAnsi="FangSong" w:eastAsia="FangSong" w:cs="FangSong"/>
          <w:sz w:val="31"/>
          <w:szCs w:val="31"/>
        </w:rPr>
        <w:t>%。</w:t>
      </w:r>
    </w:p>
    <w:p>
      <w:pPr>
        <w:ind w:left="423"/>
        <w:spacing w:before="304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十三、国有资产占用情况说明</w:t>
      </w:r>
    </w:p>
    <w:p>
      <w:pPr>
        <w:pStyle w:val="BodyText"/>
        <w:spacing w:line="356" w:lineRule="auto"/>
        <w:rPr/>
      </w:pPr>
      <w:r/>
    </w:p>
    <w:p>
      <w:pPr>
        <w:ind w:firstLine="840"/>
        <w:spacing w:before="101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截至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年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12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月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日，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本单位共有车辆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辆，其中：副部（省）级及以上领导用车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辆、主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要负责人用车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辆、机要通信用车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辆、应急保障用车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辆、执法执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勤用车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辆、特种专业技术用车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辆、离退休干部服务用车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辆，其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他用车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1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辆；单价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100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万元（含）以上的设备（不含车辆）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1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台（套）。</w:t>
      </w:r>
    </w:p>
    <w:p>
      <w:pPr>
        <w:ind w:left="399"/>
        <w:spacing w:before="309" w:line="2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十四、预算绩效情况说明</w:t>
      </w:r>
    </w:p>
    <w:p>
      <w:pPr>
        <w:pStyle w:val="BodyText"/>
        <w:spacing w:line="353" w:lineRule="auto"/>
        <w:rPr/>
      </w:pPr>
      <w:r/>
    </w:p>
    <w:p>
      <w:pPr>
        <w:ind w:left="342"/>
        <w:spacing w:before="102" w:line="407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2"/>
          <w:position w:val="1"/>
        </w:rPr>
        <w:t>一）预算绩效管理工作开展情况。</w:t>
      </w:r>
    </w:p>
    <w:p>
      <w:pPr>
        <w:spacing w:line="407" w:lineRule="exact"/>
        <w:sectPr>
          <w:footerReference w:type="default" r:id="rId17"/>
          <w:pgSz w:w="11906" w:h="16839"/>
          <w:pgMar w:top="1431" w:right="964" w:bottom="1091" w:left="1099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7" w:right="2" w:firstLine="537"/>
        <w:spacing w:before="146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根据预算绩效管理要求组织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对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2023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年一般公共预算项目支出全面开展绩效自评，其中一级项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目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"/>
        </w:rPr>
        <w:t>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个，二级项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目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2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355.7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万元，占一般公共预算项目支出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总额的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100%；政府性基金预算项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目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个，其中，一级项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目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2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个，二级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项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目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占应纳入绩效自评的政府性基金预算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项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目支出总额的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100%</w:t>
      </w:r>
      <w:r>
        <w:rPr>
          <w:rFonts w:ascii="FangSong" w:hAnsi="FangSong" w:eastAsia="FangSong" w:cs="FangSong"/>
          <w:sz w:val="31"/>
          <w:szCs w:val="31"/>
          <w:spacing w:val="-3"/>
        </w:rPr>
        <w:t>；</w:t>
      </w:r>
    </w:p>
    <w:p>
      <w:pPr>
        <w:pStyle w:val="BodyText"/>
        <w:spacing w:line="286" w:lineRule="auto"/>
        <w:rPr/>
      </w:pPr>
      <w:r/>
    </w:p>
    <w:p>
      <w:pPr>
        <w:ind w:left="346"/>
        <w:spacing w:before="100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本单位本年没有重点项目绩效评价。</w:t>
      </w:r>
    </w:p>
    <w:p>
      <w:pPr>
        <w:pStyle w:val="BodyText"/>
        <w:spacing w:line="264" w:lineRule="auto"/>
        <w:rPr/>
      </w:pPr>
      <w:r/>
    </w:p>
    <w:p>
      <w:pPr>
        <w:ind w:left="350"/>
        <w:spacing w:before="100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78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  <w:position w:val="1"/>
        </w:rPr>
        <w:t>二）单位决算中项目绩效自评结果。</w:t>
      </w:r>
    </w:p>
    <w:p>
      <w:pPr>
        <w:pStyle w:val="BodyText"/>
        <w:spacing w:line="353" w:lineRule="auto"/>
        <w:rPr/>
      </w:pPr>
      <w:r/>
    </w:p>
    <w:p>
      <w:pPr>
        <w:ind w:left="7" w:right="1" w:firstLine="861"/>
        <w:spacing w:before="101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内蒙古自治区鄂尔多斯市工人文化宫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2023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年度在决算中反映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9"/>
        </w:rPr>
        <w:t>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个一般公共预算项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目，以及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0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个政府性基金项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目，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共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"/>
        </w:rPr>
        <w:t>2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个</w:t>
      </w:r>
      <w:r>
        <w:rPr>
          <w:rFonts w:ascii="FangSong" w:hAnsi="FangSong" w:eastAsia="FangSong" w:cs="FangSong"/>
          <w:sz w:val="31"/>
          <w:szCs w:val="31"/>
          <w:spacing w:val="-2"/>
        </w:rPr>
        <w:t>项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目的绩效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自评结果。</w:t>
      </w:r>
    </w:p>
    <w:p>
      <w:pPr>
        <w:ind w:firstLine="645"/>
        <w:spacing w:before="305" w:line="359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1、财政拨款医疗、养老、公积金项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目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自评综述：根据年初设定的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绩效目标，项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目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自评得分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98.77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分。全年预</w:t>
      </w:r>
      <w:r>
        <w:rPr>
          <w:rFonts w:ascii="FangSong" w:hAnsi="FangSong" w:eastAsia="FangSong" w:cs="FangSong"/>
          <w:sz w:val="31"/>
          <w:szCs w:val="31"/>
          <w:spacing w:val="-2"/>
        </w:rPr>
        <w:t>算数为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61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万元，执行数为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57.25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，完成预算的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93.86%。绩效目标实际完成情况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：截止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2023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12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月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31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日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，我单位已为在编职工足额缴纳五险一金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，100%完成了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年初目标。</w:t>
      </w:r>
      <w:r>
        <w:rPr>
          <w:rFonts w:ascii="FangSong" w:hAnsi="FangSong" w:eastAsia="FangSong" w:cs="FangSong"/>
          <w:sz w:val="35"/>
          <w:szCs w:val="35"/>
          <w:spacing w:val="8"/>
        </w:rPr>
        <w:t>其中项目绩效情况：</w:t>
      </w:r>
    </w:p>
    <w:p>
      <w:pPr>
        <w:ind w:left="650"/>
        <w:spacing w:before="25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(一)</w:t>
      </w:r>
      <w:r>
        <w:rPr>
          <w:rFonts w:ascii="FangSong" w:hAnsi="FangSong" w:eastAsia="FangSong" w:cs="FangSong"/>
          <w:sz w:val="31"/>
          <w:szCs w:val="31"/>
          <w:spacing w:val="3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产出指标完成情况</w:t>
      </w:r>
    </w:p>
    <w:p>
      <w:pPr>
        <w:ind w:left="746"/>
        <w:spacing w:before="299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1"/>
        </w:rPr>
        <w:t>1、数量指标</w:t>
      </w:r>
    </w:p>
    <w:p>
      <w:pPr>
        <w:ind w:left="426" w:firstLine="296"/>
        <w:spacing w:before="209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)保险缴纳人数，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目标值小于等于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15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人，实际完成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15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人，分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值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15。</w:t>
      </w:r>
    </w:p>
    <w:p>
      <w:pPr>
        <w:spacing w:line="350" w:lineRule="auto"/>
        <w:sectPr>
          <w:footerReference w:type="default" r:id="rId18"/>
          <w:pgSz w:w="11906" w:h="16839"/>
          <w:pgMar w:top="1431" w:right="1082" w:bottom="1091" w:left="1092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422"/>
        <w:spacing w:before="228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2、质量指标</w:t>
      </w:r>
    </w:p>
    <w:p>
      <w:pPr>
        <w:ind w:left="124" w:firstLine="276"/>
        <w:spacing w:before="210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（2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)保险缴纳保障率，目标值大于等于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100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百分比，实际完成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100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百分比，分值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15。</w:t>
      </w:r>
    </w:p>
    <w:p>
      <w:pPr>
        <w:ind w:left="418"/>
        <w:spacing w:before="65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3、时效指标</w:t>
      </w:r>
    </w:p>
    <w:p>
      <w:pPr>
        <w:ind w:left="103" w:hanging="24"/>
        <w:spacing w:before="210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（3</w:t>
      </w:r>
      <w:r>
        <w:rPr>
          <w:rFonts w:ascii="FangSong" w:hAnsi="FangSong" w:eastAsia="FangSong" w:cs="FangSong"/>
          <w:sz w:val="31"/>
          <w:szCs w:val="31"/>
          <w:spacing w:val="-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)社会保险缴纳监督率，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100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百分比，实际完成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100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百分比，分值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10。</w:t>
      </w:r>
    </w:p>
    <w:p>
      <w:pPr>
        <w:ind w:left="100"/>
        <w:spacing w:before="65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4、成本指标</w:t>
      </w:r>
    </w:p>
    <w:p>
      <w:pPr>
        <w:ind w:left="120" w:hanging="41"/>
        <w:spacing w:before="211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（4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)社会保险补贴成本，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61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万元，实际完成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57.25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万元，分值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9.39。</w:t>
      </w:r>
    </w:p>
    <w:p>
      <w:pPr>
        <w:ind w:left="108"/>
        <w:spacing w:before="62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(二)</w:t>
      </w:r>
      <w:r>
        <w:rPr>
          <w:rFonts w:ascii="FangSong" w:hAnsi="FangSong" w:eastAsia="FangSong" w:cs="FangSong"/>
          <w:sz w:val="31"/>
          <w:szCs w:val="31"/>
          <w:spacing w:val="3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效益指标完成情况</w:t>
      </w:r>
    </w:p>
    <w:p>
      <w:pPr>
        <w:spacing w:before="210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5、无经济效益</w:t>
      </w:r>
    </w:p>
    <w:p>
      <w:pPr>
        <w:ind w:left="100"/>
        <w:spacing w:before="211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6、社会效益</w:t>
      </w:r>
    </w:p>
    <w:p>
      <w:pPr>
        <w:ind w:left="137" w:right="1" w:hanging="58"/>
        <w:spacing w:before="206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（5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)保险覆盖率，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100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百分比，实际完成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100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百分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比，分值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15。</w:t>
      </w:r>
    </w:p>
    <w:p>
      <w:pPr>
        <w:ind w:left="99"/>
        <w:spacing w:before="59" w:line="413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7、无生态效益</w:t>
      </w:r>
    </w:p>
    <w:p>
      <w:pPr>
        <w:ind w:left="98"/>
        <w:spacing w:before="207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8、可持续影响</w:t>
      </w:r>
    </w:p>
    <w:p>
      <w:pPr>
        <w:ind w:left="107" w:hanging="28"/>
        <w:spacing w:before="211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（6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)确保职工基本养老保险制度平稳制度，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100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分比，实际完成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100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百分比，分值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15。</w:t>
      </w:r>
    </w:p>
    <w:p>
      <w:pPr>
        <w:ind w:left="108"/>
        <w:spacing w:before="66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>(三)</w:t>
      </w:r>
      <w:r>
        <w:rPr>
          <w:rFonts w:ascii="FangSong" w:hAnsi="FangSong" w:eastAsia="FangSong" w:cs="FangSong"/>
          <w:sz w:val="31"/>
          <w:szCs w:val="31"/>
          <w:spacing w:val="42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>满意度指标完成情况</w:t>
      </w:r>
    </w:p>
    <w:p>
      <w:pPr>
        <w:ind w:left="100"/>
        <w:spacing w:before="210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9、服务对象满意度</w:t>
      </w:r>
    </w:p>
    <w:p>
      <w:pPr>
        <w:ind w:left="103" w:hanging="24"/>
        <w:spacing w:before="209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（7</w:t>
      </w:r>
      <w:r>
        <w:rPr>
          <w:rFonts w:ascii="FangSong" w:hAnsi="FangSong" w:eastAsia="FangSong" w:cs="FangSong"/>
          <w:sz w:val="31"/>
          <w:szCs w:val="31"/>
          <w:spacing w:val="-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)享受养老保险满意度，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100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百分比，实际完成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100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百分比，分值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10。</w:t>
      </w:r>
    </w:p>
    <w:p>
      <w:pPr>
        <w:spacing w:line="349" w:lineRule="auto"/>
        <w:sectPr>
          <w:footerReference w:type="default" r:id="rId19"/>
          <w:pgSz w:w="11906" w:h="16839"/>
          <w:pgMar w:top="1431" w:right="1083" w:bottom="1091" w:left="141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22"/>
        <w:spacing w:before="228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49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  <w:position w:val="1"/>
        </w:rPr>
        <w:t>四）自评得分情况</w:t>
      </w:r>
    </w:p>
    <w:p>
      <w:pPr>
        <w:ind w:left="134" w:right="16" w:firstLine="635"/>
        <w:spacing w:before="207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本项目绩效自评得分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98.77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分，等级为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A。发现的主要问题及原因：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立项过程中存在有些指标考虑不周全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，设置不合理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，和实际实施过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程中有偏差。下一步改进措施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：今后将更加及时</w:t>
      </w:r>
      <w:r>
        <w:rPr>
          <w:rFonts w:ascii="FangSong" w:hAnsi="FangSong" w:eastAsia="FangSong" w:cs="FangSong"/>
          <w:sz w:val="31"/>
          <w:szCs w:val="31"/>
          <w:spacing w:val="11"/>
        </w:rPr>
        <w:t>准确的为职工缴纳住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房公积金、职业年金等各类保险。</w:t>
      </w:r>
    </w:p>
    <w:p>
      <w:pPr>
        <w:spacing w:before="225"/>
        <w:rPr/>
      </w:pPr>
      <w:r/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72"/>
        <w:gridCol w:w="869"/>
        <w:gridCol w:w="867"/>
        <w:gridCol w:w="804"/>
        <w:gridCol w:w="804"/>
        <w:gridCol w:w="808"/>
        <w:gridCol w:w="806"/>
        <w:gridCol w:w="804"/>
        <w:gridCol w:w="812"/>
        <w:gridCol w:w="805"/>
        <w:gridCol w:w="834"/>
        <w:gridCol w:w="875"/>
      </w:tblGrid>
      <w:tr>
        <w:trPr>
          <w:trHeight w:val="1257" w:hRule="atLeast"/>
        </w:trPr>
        <w:tc>
          <w:tcPr>
            <w:tcW w:w="9960" w:type="dxa"/>
            <w:vAlign w:val="top"/>
            <w:gridSpan w:val="12"/>
          </w:tcPr>
          <w:p>
            <w:pPr>
              <w:ind w:left="3552"/>
              <w:spacing w:before="139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5"/>
                <w:position w:val="1"/>
              </w:rPr>
              <w:t>项目支出绩效自评表</w:t>
            </w:r>
          </w:p>
          <w:p>
            <w:pPr>
              <w:ind w:left="4108"/>
              <w:spacing w:before="212" w:line="412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-8"/>
                <w:position w:val="1"/>
              </w:rPr>
              <w:t>(2023</w:t>
            </w:r>
            <w:r>
              <w:rPr>
                <w:rFonts w:ascii="FangSong" w:hAnsi="FangSong" w:eastAsia="FangSong" w:cs="FangSong"/>
                <w:sz w:val="31"/>
                <w:szCs w:val="31"/>
                <w:spacing w:val="-56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-8"/>
                <w:position w:val="1"/>
              </w:rPr>
              <w:t>年度）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</w:tcPr>
          <w:p>
            <w:pPr>
              <w:pStyle w:val="TableText"/>
              <w:ind w:left="918"/>
              <w:spacing w:before="101" w:line="220" w:lineRule="auto"/>
              <w:rPr/>
            </w:pPr>
            <w:r>
              <w:rPr>
                <w:spacing w:val="-3"/>
              </w:rPr>
              <w:t>项目名称</w:t>
            </w:r>
          </w:p>
        </w:tc>
        <w:tc>
          <w:tcPr>
            <w:tcW w:w="8219" w:type="dxa"/>
            <w:vAlign w:val="top"/>
            <w:gridSpan w:val="10"/>
          </w:tcPr>
          <w:p>
            <w:pPr>
              <w:pStyle w:val="TableText"/>
              <w:ind w:left="111"/>
              <w:spacing w:before="102" w:line="219" w:lineRule="auto"/>
              <w:rPr/>
            </w:pPr>
            <w:r>
              <w:rPr>
                <w:spacing w:val="-1"/>
              </w:rPr>
              <w:t>财政拨款医疗、养老、公积金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</w:tcPr>
          <w:p>
            <w:pPr>
              <w:pStyle w:val="TableText"/>
              <w:ind w:left="917"/>
              <w:spacing w:before="103" w:line="219" w:lineRule="auto"/>
              <w:rPr/>
            </w:pPr>
            <w:r>
              <w:rPr>
                <w:spacing w:val="-3"/>
              </w:rPr>
              <w:t>主管部门</w:t>
            </w:r>
          </w:p>
        </w:tc>
        <w:tc>
          <w:tcPr>
            <w:tcW w:w="3283" w:type="dxa"/>
            <w:vAlign w:val="top"/>
            <w:gridSpan w:val="4"/>
          </w:tcPr>
          <w:p>
            <w:pPr>
              <w:pStyle w:val="TableText"/>
              <w:ind w:left="110"/>
              <w:spacing w:before="102" w:line="219" w:lineRule="auto"/>
              <w:rPr/>
            </w:pPr>
            <w:r>
              <w:rPr>
                <w:spacing w:val="-1"/>
              </w:rPr>
              <w:t>鄂尔多斯市总工会（部门）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792"/>
              <w:spacing w:before="103" w:line="220" w:lineRule="auto"/>
              <w:rPr/>
            </w:pPr>
            <w:r>
              <w:rPr>
                <w:spacing w:val="-3"/>
              </w:rPr>
              <w:t>实施单位</w:t>
            </w:r>
          </w:p>
        </w:tc>
        <w:tc>
          <w:tcPr>
            <w:tcW w:w="3326" w:type="dxa"/>
            <w:vAlign w:val="top"/>
            <w:gridSpan w:val="4"/>
          </w:tcPr>
          <w:p>
            <w:pPr>
              <w:pStyle w:val="TableText"/>
              <w:ind w:left="113"/>
              <w:spacing w:before="103" w:line="219" w:lineRule="auto"/>
              <w:rPr/>
            </w:pPr>
            <w:r>
              <w:rPr>
                <w:spacing w:val="-1"/>
              </w:rPr>
              <w:t>鄂尔多斯市工人文化宫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 w:right="508" w:hanging="6"/>
              <w:spacing w:before="58" w:line="307" w:lineRule="auto"/>
              <w:rPr/>
            </w:pPr>
            <w:r>
              <w:rPr>
                <w:spacing w:val="-3"/>
              </w:rPr>
              <w:t>项目资金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（万元）</w:t>
            </w:r>
          </w:p>
        </w:tc>
        <w:tc>
          <w:tcPr>
            <w:tcW w:w="8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</w:tcPr>
          <w:p>
            <w:pPr>
              <w:pStyle w:val="TableText"/>
              <w:ind w:left="228" w:right="129" w:hanging="91"/>
              <w:spacing w:before="69" w:line="282" w:lineRule="auto"/>
              <w:rPr/>
            </w:pPr>
            <w:r>
              <w:rPr>
                <w:spacing w:val="-3"/>
              </w:rPr>
              <w:t>年初预</w:t>
            </w:r>
            <w:r>
              <w:rPr/>
              <w:t xml:space="preserve"> </w:t>
            </w:r>
            <w:r>
              <w:rPr>
                <w:spacing w:val="-5"/>
              </w:rPr>
              <w:t>算数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359"/>
              <w:spacing w:before="224" w:line="219" w:lineRule="auto"/>
              <w:rPr/>
            </w:pPr>
            <w:r>
              <w:rPr>
                <w:spacing w:val="-2"/>
              </w:rPr>
              <w:t>全年预算数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360"/>
              <w:spacing w:before="224" w:line="219" w:lineRule="auto"/>
              <w:rPr/>
            </w:pPr>
            <w:r>
              <w:rPr>
                <w:spacing w:val="-2"/>
              </w:rPr>
              <w:t>全年执行数</w:t>
            </w:r>
          </w:p>
        </w:tc>
        <w:tc>
          <w:tcPr>
            <w:tcW w:w="812" w:type="dxa"/>
            <w:vAlign w:val="top"/>
          </w:tcPr>
          <w:p>
            <w:pPr>
              <w:pStyle w:val="TableText"/>
              <w:ind w:left="233"/>
              <w:spacing w:before="224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331"/>
              <w:spacing w:before="224" w:line="219" w:lineRule="auto"/>
              <w:rPr/>
            </w:pPr>
            <w:r>
              <w:rPr>
                <w:spacing w:val="-2"/>
              </w:rPr>
              <w:t>执行率（%）</w:t>
            </w:r>
          </w:p>
        </w:tc>
        <w:tc>
          <w:tcPr>
            <w:tcW w:w="875" w:type="dxa"/>
            <w:vAlign w:val="top"/>
          </w:tcPr>
          <w:p>
            <w:pPr>
              <w:pStyle w:val="TableText"/>
              <w:ind w:left="262"/>
              <w:spacing w:before="224" w:line="219" w:lineRule="auto"/>
              <w:rPr/>
            </w:pPr>
            <w:r>
              <w:rPr>
                <w:spacing w:val="-4"/>
              </w:rPr>
              <w:t>得分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9" w:right="160"/>
              <w:spacing w:before="67" w:line="283" w:lineRule="auto"/>
              <w:rPr/>
            </w:pPr>
            <w:r>
              <w:rPr>
                <w:spacing w:val="-3"/>
              </w:rPr>
              <w:t>年度资</w:t>
            </w:r>
            <w:r>
              <w:rPr/>
              <w:t xml:space="preserve"> </w:t>
            </w:r>
            <w:r>
              <w:rPr>
                <w:spacing w:val="-3"/>
              </w:rPr>
              <w:t>金总额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1" w:line="184" w:lineRule="auto"/>
              <w:rPr/>
            </w:pPr>
            <w:r>
              <w:rPr>
                <w:spacing w:val="-2"/>
              </w:rPr>
              <w:t>61.00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586"/>
              <w:spacing w:before="251" w:line="184" w:lineRule="auto"/>
              <w:rPr/>
            </w:pPr>
            <w:r>
              <w:rPr>
                <w:spacing w:val="-2"/>
              </w:rPr>
              <w:t>61.00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587"/>
              <w:spacing w:before="252" w:line="183" w:lineRule="auto"/>
              <w:rPr/>
            </w:pPr>
            <w:r>
              <w:rPr>
                <w:spacing w:val="-2"/>
              </w:rPr>
              <w:t>57.25</w:t>
            </w:r>
          </w:p>
        </w:tc>
        <w:tc>
          <w:tcPr>
            <w:tcW w:w="812" w:type="dxa"/>
            <w:vAlign w:val="top"/>
          </w:tcPr>
          <w:p>
            <w:pPr>
              <w:pStyle w:val="TableText"/>
              <w:ind w:left="333"/>
              <w:spacing w:before="251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600"/>
              <w:spacing w:before="252" w:line="183" w:lineRule="auto"/>
              <w:rPr/>
            </w:pPr>
            <w:r>
              <w:rPr>
                <w:spacing w:val="-2"/>
              </w:rPr>
              <w:t>93.85</w:t>
            </w:r>
          </w:p>
        </w:tc>
        <w:tc>
          <w:tcPr>
            <w:tcW w:w="875" w:type="dxa"/>
            <w:vAlign w:val="top"/>
          </w:tcPr>
          <w:p>
            <w:pPr>
              <w:pStyle w:val="TableText"/>
              <w:ind w:left="262"/>
              <w:spacing w:before="252" w:line="183" w:lineRule="auto"/>
              <w:rPr/>
            </w:pPr>
            <w:r>
              <w:rPr>
                <w:spacing w:val="-2"/>
              </w:rPr>
              <w:t>9.38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10" w:right="105" w:firstLine="1"/>
              <w:spacing w:before="67" w:line="283" w:lineRule="auto"/>
              <w:rPr/>
            </w:pPr>
            <w:r>
              <w:rPr>
                <w:spacing w:val="-19"/>
              </w:rPr>
              <w:t>其中：财</w:t>
            </w:r>
            <w:r>
              <w:rPr/>
              <w:t xml:space="preserve"> </w:t>
            </w:r>
            <w:r>
              <w:rPr>
                <w:spacing w:val="-3"/>
              </w:rPr>
              <w:t>政拨款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0" w:line="184" w:lineRule="auto"/>
              <w:rPr/>
            </w:pPr>
            <w:r>
              <w:rPr>
                <w:spacing w:val="-2"/>
              </w:rPr>
              <w:t>61.00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586"/>
              <w:spacing w:before="250" w:line="184" w:lineRule="auto"/>
              <w:rPr/>
            </w:pPr>
            <w:r>
              <w:rPr>
                <w:spacing w:val="-2"/>
              </w:rPr>
              <w:t>61.00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587"/>
              <w:spacing w:before="251" w:line="183" w:lineRule="auto"/>
              <w:rPr/>
            </w:pPr>
            <w:r>
              <w:rPr>
                <w:spacing w:val="-2"/>
              </w:rPr>
              <w:t>57.25</w:t>
            </w:r>
          </w:p>
        </w:tc>
        <w:tc>
          <w:tcPr>
            <w:tcW w:w="81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14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600"/>
              <w:spacing w:before="251" w:line="183" w:lineRule="auto"/>
              <w:rPr/>
            </w:pPr>
            <w:r>
              <w:rPr>
                <w:spacing w:val="-2"/>
              </w:rPr>
              <w:t>93.85</w:t>
            </w:r>
          </w:p>
        </w:tc>
        <w:tc>
          <w:tcPr>
            <w:tcW w:w="87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9" w:right="160"/>
              <w:spacing w:before="69" w:line="282" w:lineRule="auto"/>
              <w:rPr/>
            </w:pPr>
            <w:r>
              <w:rPr>
                <w:spacing w:val="-3"/>
              </w:rPr>
              <w:t>上年结</w:t>
            </w:r>
            <w:r>
              <w:rPr/>
              <w:t xml:space="preserve"> </w:t>
            </w:r>
            <w:r>
              <w:rPr>
                <w:spacing w:val="-3"/>
              </w:rPr>
              <w:t>转资金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3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766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630"/>
              <w:spacing w:before="253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81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14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781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87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9" w:right="160" w:hanging="180"/>
              <w:spacing w:before="69" w:line="282" w:lineRule="auto"/>
              <w:rPr/>
            </w:pPr>
            <w:r>
              <w:rPr>
                <w:spacing w:val="-3"/>
              </w:rPr>
              <w:t>其他资</w:t>
            </w:r>
            <w:r>
              <w:rPr/>
              <w:t xml:space="preserve"> </w:t>
            </w:r>
            <w:r>
              <w:rPr/>
              <w:t>金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14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1612" w:type="dxa"/>
            <w:vAlign w:val="top"/>
            <w:gridSpan w:val="2"/>
          </w:tcPr>
          <w:p>
            <w:pPr>
              <w:pStyle w:val="TableText"/>
              <w:ind w:left="766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1610" w:type="dxa"/>
            <w:vAlign w:val="top"/>
            <w:gridSpan w:val="2"/>
          </w:tcPr>
          <w:p>
            <w:pPr>
              <w:pStyle w:val="TableText"/>
              <w:ind w:left="630"/>
              <w:spacing w:before="253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81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4"/>
              <w:spacing w:before="52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639" w:type="dxa"/>
            <w:vAlign w:val="top"/>
            <w:gridSpan w:val="2"/>
          </w:tcPr>
          <w:p>
            <w:pPr>
              <w:pStyle w:val="TableText"/>
              <w:ind w:left="781"/>
              <w:spacing w:before="253" w:line="183" w:lineRule="auto"/>
              <w:rPr/>
            </w:pPr>
            <w:r>
              <w:rPr/>
              <w:t>0</w:t>
            </w:r>
          </w:p>
        </w:tc>
        <w:tc>
          <w:tcPr>
            <w:tcW w:w="87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52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385" w:hRule="atLeast"/>
        </w:trPr>
        <w:tc>
          <w:tcPr>
            <w:tcW w:w="174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59" w:line="219" w:lineRule="auto"/>
              <w:rPr/>
            </w:pPr>
            <w:r>
              <w:rPr>
                <w:spacing w:val="-2"/>
              </w:rPr>
              <w:t>年度总体目标</w:t>
            </w:r>
          </w:p>
        </w:tc>
        <w:tc>
          <w:tcPr>
            <w:tcW w:w="4089" w:type="dxa"/>
            <w:vAlign w:val="top"/>
            <w:gridSpan w:val="5"/>
          </w:tcPr>
          <w:p>
            <w:pPr>
              <w:pStyle w:val="TableText"/>
              <w:ind w:left="1689"/>
              <w:spacing w:before="102" w:line="220" w:lineRule="auto"/>
              <w:rPr/>
            </w:pPr>
            <w:r>
              <w:rPr>
                <w:spacing w:val="-3"/>
              </w:rPr>
              <w:t>预期目标</w:t>
            </w:r>
          </w:p>
        </w:tc>
        <w:tc>
          <w:tcPr>
            <w:tcW w:w="4130" w:type="dxa"/>
            <w:vAlign w:val="top"/>
            <w:gridSpan w:val="5"/>
          </w:tcPr>
          <w:p>
            <w:pPr>
              <w:pStyle w:val="TableText"/>
              <w:ind w:left="1534"/>
              <w:spacing w:before="102" w:line="219" w:lineRule="auto"/>
              <w:rPr/>
            </w:pPr>
            <w:r>
              <w:rPr>
                <w:spacing w:val="-2"/>
              </w:rPr>
              <w:t>实际完成情况</w:t>
            </w:r>
          </w:p>
        </w:tc>
      </w:tr>
      <w:tr>
        <w:trPr>
          <w:trHeight w:val="1565" w:hRule="atLeast"/>
        </w:trPr>
        <w:tc>
          <w:tcPr>
            <w:tcW w:w="174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9" w:type="dxa"/>
            <w:vAlign w:val="top"/>
            <w:gridSpan w:val="5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5"/>
              <w:spacing w:before="58" w:line="183" w:lineRule="auto"/>
              <w:rPr/>
            </w:pPr>
            <w:r>
              <w:rPr/>
              <w:t>9</w:t>
            </w:r>
          </w:p>
        </w:tc>
        <w:tc>
          <w:tcPr>
            <w:tcW w:w="4130" w:type="dxa"/>
            <w:vAlign w:val="top"/>
            <w:gridSpan w:val="5"/>
          </w:tcPr>
          <w:p>
            <w:pPr>
              <w:pStyle w:val="TableText"/>
              <w:ind w:left="359" w:right="106" w:hanging="244"/>
              <w:spacing w:before="66" w:line="307" w:lineRule="auto"/>
              <w:rPr/>
            </w:pPr>
            <w:r>
              <w:rPr>
                <w:spacing w:val="-3"/>
              </w:rPr>
              <w:t>预期目标：更好的维护参保人员的权益，规范和强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化保险基金监督，切实提高基金管理水平。</w:t>
            </w:r>
          </w:p>
          <w:p>
            <w:pPr>
              <w:pStyle w:val="TableText"/>
              <w:ind w:right="17"/>
              <w:spacing w:before="26" w:line="219" w:lineRule="auto"/>
              <w:jc w:val="right"/>
              <w:rPr/>
            </w:pPr>
            <w:r>
              <w:rPr>
                <w:spacing w:val="-6"/>
              </w:rPr>
              <w:t>绩效目标实际完成情况：截止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2023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12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月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31 日，</w:t>
            </w:r>
          </w:p>
          <w:p>
            <w:pPr>
              <w:pStyle w:val="TableText"/>
              <w:ind w:left="1545" w:right="106" w:hanging="1430"/>
              <w:spacing w:before="97" w:line="283" w:lineRule="auto"/>
              <w:rPr/>
            </w:pPr>
            <w:r>
              <w:rPr>
                <w:spacing w:val="-3"/>
              </w:rPr>
              <w:t>我单位已为在编职工足额缴纳五险一金，100%完成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了年初目标。</w:t>
            </w:r>
          </w:p>
        </w:tc>
      </w:tr>
      <w:tr>
        <w:trPr>
          <w:trHeight w:val="1253" w:hRule="atLeast"/>
        </w:trPr>
        <w:tc>
          <w:tcPr>
            <w:tcW w:w="87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 w:right="162" w:hanging="177"/>
              <w:spacing w:before="58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77"/>
              <w:spacing w:before="58" w:line="307" w:lineRule="auto"/>
              <w:rPr/>
            </w:pPr>
            <w:r>
              <w:rPr>
                <w:spacing w:val="-4"/>
              </w:rPr>
              <w:t>一级指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0" w:hanging="177"/>
              <w:spacing w:before="58" w:line="307" w:lineRule="auto"/>
              <w:rPr/>
            </w:pPr>
            <w:r>
              <w:rPr>
                <w:spacing w:val="-4"/>
              </w:rPr>
              <w:t>二级指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29" w:hanging="180"/>
              <w:spacing w:before="58" w:line="307" w:lineRule="auto"/>
              <w:rPr/>
            </w:pPr>
            <w:r>
              <w:rPr>
                <w:spacing w:val="-3"/>
              </w:rPr>
              <w:t>三级指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29" w:hanging="178"/>
              <w:spacing w:before="58" w:line="307" w:lineRule="auto"/>
              <w:rPr/>
            </w:pPr>
            <w:r>
              <w:rPr>
                <w:spacing w:val="-4"/>
              </w:rPr>
              <w:t>指标性</w:t>
            </w:r>
            <w:r>
              <w:rPr>
                <w:spacing w:val="1"/>
              </w:rPr>
              <w:t xml:space="preserve"> </w:t>
            </w:r>
            <w:r>
              <w:rPr/>
              <w:t>质</w:t>
            </w:r>
          </w:p>
        </w:tc>
        <w:tc>
          <w:tcPr>
            <w:tcW w:w="80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 w:right="131" w:hanging="196"/>
              <w:spacing w:before="59" w:line="307" w:lineRule="auto"/>
              <w:rPr/>
            </w:pPr>
            <w:r>
              <w:rPr>
                <w:spacing w:val="-4"/>
              </w:rPr>
              <w:t>指标方</w:t>
            </w:r>
            <w:r>
              <w:rPr>
                <w:spacing w:val="1"/>
              </w:rPr>
              <w:t xml:space="preserve"> </w:t>
            </w:r>
            <w:r>
              <w:rPr/>
              <w:t>向</w:t>
            </w:r>
          </w:p>
        </w:tc>
        <w:tc>
          <w:tcPr>
            <w:tcW w:w="80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130" w:hanging="91"/>
              <w:spacing w:before="58" w:line="307" w:lineRule="auto"/>
              <w:rPr/>
            </w:pPr>
            <w:r>
              <w:rPr>
                <w:spacing w:val="-3"/>
              </w:rPr>
              <w:t>年度指</w:t>
            </w:r>
            <w:r>
              <w:rPr/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80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 w:right="128" w:hanging="85"/>
              <w:spacing w:before="58" w:line="307" w:lineRule="auto"/>
              <w:rPr/>
            </w:pPr>
            <w:r>
              <w:rPr>
                <w:spacing w:val="-4"/>
              </w:rPr>
              <w:t>实际完</w:t>
            </w:r>
            <w:r>
              <w:rPr/>
              <w:t xml:space="preserve"> </w:t>
            </w:r>
            <w:r>
              <w:rPr>
                <w:spacing w:val="-5"/>
              </w:rPr>
              <w:t>成值</w:t>
            </w:r>
          </w:p>
        </w:tc>
        <w:tc>
          <w:tcPr>
            <w:tcW w:w="81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 w:right="133" w:hanging="180"/>
              <w:spacing w:before="59" w:line="307" w:lineRule="auto"/>
              <w:rPr/>
            </w:pPr>
            <w:r>
              <w:rPr>
                <w:spacing w:val="-3"/>
              </w:rPr>
              <w:t>计量单</w:t>
            </w:r>
            <w:r>
              <w:rPr/>
              <w:t xml:space="preserve"> </w:t>
            </w:r>
            <w:r>
              <w:rPr/>
              <w:t>位</w:t>
            </w:r>
          </w:p>
        </w:tc>
        <w:tc>
          <w:tcPr>
            <w:tcW w:w="805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58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834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58" w:line="219" w:lineRule="auto"/>
              <w:rPr/>
            </w:pPr>
            <w:r>
              <w:rPr>
                <w:spacing w:val="-4"/>
              </w:rPr>
              <w:t>得分</w:t>
            </w:r>
          </w:p>
        </w:tc>
        <w:tc>
          <w:tcPr>
            <w:tcW w:w="875" w:type="dxa"/>
            <w:vAlign w:val="top"/>
          </w:tcPr>
          <w:p>
            <w:pPr>
              <w:pStyle w:val="TableText"/>
              <w:ind w:left="114" w:right="221"/>
              <w:spacing w:before="69" w:line="301" w:lineRule="auto"/>
              <w:jc w:val="both"/>
              <w:rPr/>
            </w:pPr>
            <w:r>
              <w:rPr>
                <w:spacing w:val="-3"/>
              </w:rPr>
              <w:t>偏差原</w:t>
            </w:r>
            <w:r>
              <w:rPr/>
              <w:t xml:space="preserve"> </w:t>
            </w:r>
            <w:r>
              <w:rPr>
                <w:spacing w:val="-3"/>
              </w:rPr>
              <w:t>因分析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及改进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措施</w:t>
            </w:r>
          </w:p>
        </w:tc>
      </w:tr>
      <w:tr>
        <w:trPr>
          <w:trHeight w:val="845" w:hRule="atLeast"/>
        </w:trPr>
        <w:tc>
          <w:tcPr>
            <w:tcW w:w="872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 w:right="162" w:hanging="177"/>
              <w:spacing w:before="59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69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80"/>
              <w:spacing w:before="59" w:line="307" w:lineRule="auto"/>
              <w:rPr/>
            </w:pPr>
            <w:r>
              <w:rPr>
                <w:spacing w:val="-3"/>
              </w:rPr>
              <w:t>产出指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8" w:right="160" w:hanging="179"/>
              <w:spacing w:before="177" w:line="307" w:lineRule="auto"/>
              <w:rPr/>
            </w:pPr>
            <w:r>
              <w:rPr>
                <w:spacing w:val="-3"/>
              </w:rPr>
              <w:t>数量指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 w:right="129"/>
              <w:spacing w:before="176" w:line="307" w:lineRule="auto"/>
              <w:rPr/>
            </w:pPr>
            <w:r>
              <w:rPr>
                <w:spacing w:val="-3"/>
              </w:rPr>
              <w:t>保险缴</w:t>
            </w:r>
            <w:r>
              <w:rPr/>
              <w:t xml:space="preserve"> </w:t>
            </w:r>
            <w:r>
              <w:rPr>
                <w:spacing w:val="-3"/>
              </w:rPr>
              <w:t>纳人数</w:t>
            </w:r>
          </w:p>
        </w:tc>
        <w:tc>
          <w:tcPr>
            <w:tcW w:w="80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8"/>
              <w:spacing w:before="59" w:line="221" w:lineRule="auto"/>
              <w:rPr/>
            </w:pPr>
            <w:r>
              <w:rPr>
                <w:spacing w:val="-4"/>
              </w:rPr>
              <w:t>反向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78"/>
              <w:spacing w:before="176" w:line="309" w:lineRule="auto"/>
              <w:rPr/>
            </w:pPr>
            <w:r>
              <w:rPr>
                <w:spacing w:val="-4"/>
              </w:rPr>
              <w:t>小于等</w:t>
            </w:r>
            <w:r>
              <w:rPr/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0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1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58" w:line="222" w:lineRule="auto"/>
              <w:rPr/>
            </w:pPr>
            <w:r>
              <w:rPr/>
              <w:t>人</w:t>
            </w:r>
          </w:p>
        </w:tc>
        <w:tc>
          <w:tcPr>
            <w:tcW w:w="80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3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4" w:hRule="atLeast"/>
        </w:trPr>
        <w:tc>
          <w:tcPr>
            <w:tcW w:w="8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  <w:tcBorders>
              <w:bottom w:val="nil"/>
            </w:tcBorders>
          </w:tcPr>
          <w:p>
            <w:pPr>
              <w:pStyle w:val="TableText"/>
              <w:ind w:left="349" w:right="160" w:hanging="180"/>
              <w:spacing w:before="224" w:line="307" w:lineRule="auto"/>
              <w:rPr/>
            </w:pPr>
            <w:r>
              <w:rPr>
                <w:spacing w:val="-3"/>
              </w:rPr>
              <w:t>质量指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pStyle w:val="TableText"/>
              <w:ind w:left="137"/>
              <w:spacing w:before="68" w:line="219" w:lineRule="auto"/>
              <w:rPr/>
            </w:pPr>
            <w:r>
              <w:rPr>
                <w:spacing w:val="-3"/>
              </w:rPr>
              <w:t>保险缴</w:t>
            </w:r>
          </w:p>
          <w:p>
            <w:pPr>
              <w:pStyle w:val="TableText"/>
              <w:ind w:left="138"/>
              <w:spacing w:before="98" w:line="219" w:lineRule="auto"/>
              <w:rPr/>
            </w:pPr>
            <w:r>
              <w:rPr>
                <w:spacing w:val="-3"/>
              </w:rPr>
              <w:t>纳保障</w:t>
            </w:r>
          </w:p>
          <w:p>
            <w:pPr>
              <w:pStyle w:val="TableText"/>
              <w:ind w:left="318"/>
              <w:spacing w:before="98" w:line="219" w:lineRule="auto"/>
              <w:rPr/>
            </w:pPr>
            <w:r>
              <w:rPr/>
              <w:t>率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  <w:tcBorders>
              <w:bottom w:val="nil"/>
            </w:tcBorders>
          </w:tcPr>
          <w:p>
            <w:pPr>
              <w:pStyle w:val="TableText"/>
              <w:ind w:left="321" w:right="131" w:hanging="180"/>
              <w:spacing w:before="223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  <w:tcBorders>
              <w:bottom w:val="nil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  <w:tcBorders>
              <w:bottom w:val="nil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2" w:type="dxa"/>
            <w:vAlign w:val="top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  <w:tcBorders>
              <w:bottom w:val="nil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34" w:type="dxa"/>
            <w:vAlign w:val="top"/>
            <w:tcBorders>
              <w:bottom w:val="nil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75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6" w:h="16839"/>
          <w:pgMar w:top="1431" w:right="970" w:bottom="1091" w:left="970" w:header="0" w:footer="929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72"/>
        <w:gridCol w:w="869"/>
        <w:gridCol w:w="867"/>
        <w:gridCol w:w="804"/>
        <w:gridCol w:w="804"/>
        <w:gridCol w:w="808"/>
        <w:gridCol w:w="806"/>
        <w:gridCol w:w="804"/>
        <w:gridCol w:w="812"/>
        <w:gridCol w:w="805"/>
        <w:gridCol w:w="834"/>
        <w:gridCol w:w="875"/>
      </w:tblGrid>
      <w:tr>
        <w:trPr>
          <w:trHeight w:val="945" w:hRule="atLeast"/>
        </w:trPr>
        <w:tc>
          <w:tcPr>
            <w:tcW w:w="8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8" w:right="160" w:hanging="172"/>
              <w:spacing w:before="227" w:line="307" w:lineRule="auto"/>
              <w:rPr/>
            </w:pPr>
            <w:r>
              <w:rPr>
                <w:spacing w:val="-6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7" w:right="129"/>
              <w:spacing w:before="72" w:line="295" w:lineRule="auto"/>
              <w:jc w:val="both"/>
              <w:rPr/>
            </w:pPr>
            <w:r>
              <w:rPr>
                <w:spacing w:val="-3"/>
              </w:rPr>
              <w:t>社会保</w:t>
            </w:r>
            <w:r>
              <w:rPr/>
              <w:t xml:space="preserve"> </w:t>
            </w:r>
            <w:r>
              <w:rPr>
                <w:spacing w:val="-3"/>
              </w:rPr>
              <w:t>险缴纳</w:t>
            </w:r>
            <w:r>
              <w:rPr/>
              <w:t xml:space="preserve"> </w:t>
            </w:r>
            <w:r>
              <w:rPr>
                <w:spacing w:val="-3"/>
              </w:rPr>
              <w:t>监督率</w:t>
            </w:r>
          </w:p>
        </w:tc>
        <w:tc>
          <w:tcPr>
            <w:tcW w:w="80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226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8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8" w:right="160" w:hanging="179"/>
              <w:spacing w:before="223" w:line="307" w:lineRule="auto"/>
              <w:rPr/>
            </w:pPr>
            <w:r>
              <w:rPr>
                <w:spacing w:val="-3"/>
              </w:rPr>
              <w:t>成本指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8"/>
              <w:spacing w:before="67" w:line="219" w:lineRule="auto"/>
              <w:rPr/>
            </w:pPr>
            <w:r>
              <w:rPr>
                <w:spacing w:val="-3"/>
              </w:rPr>
              <w:t>社会保</w:t>
            </w:r>
          </w:p>
          <w:p>
            <w:pPr>
              <w:pStyle w:val="TableText"/>
              <w:ind w:left="146"/>
              <w:spacing w:before="99" w:line="219" w:lineRule="auto"/>
              <w:rPr/>
            </w:pPr>
            <w:r>
              <w:rPr>
                <w:spacing w:val="-6"/>
              </w:rPr>
              <w:t>险补贴</w:t>
            </w:r>
          </w:p>
          <w:p>
            <w:pPr>
              <w:pStyle w:val="TableText"/>
              <w:ind w:left="229"/>
              <w:spacing w:before="97" w:line="219" w:lineRule="auto"/>
              <w:rPr/>
            </w:pPr>
            <w:r>
              <w:rPr>
                <w:spacing w:val="-5"/>
              </w:rPr>
              <w:t>成本</w:t>
            </w:r>
          </w:p>
        </w:tc>
        <w:tc>
          <w:tcPr>
            <w:tcW w:w="80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222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8" w:line="184" w:lineRule="auto"/>
              <w:rPr/>
            </w:pPr>
            <w:r>
              <w:rPr>
                <w:spacing w:val="-4"/>
              </w:rPr>
              <w:t>61</w:t>
            </w:r>
          </w:p>
        </w:tc>
        <w:tc>
          <w:tcPr>
            <w:tcW w:w="80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58" w:line="183" w:lineRule="auto"/>
              <w:rPr/>
            </w:pPr>
            <w:r>
              <w:rPr>
                <w:spacing w:val="-2"/>
              </w:rPr>
              <w:t>57.25</w:t>
            </w:r>
          </w:p>
        </w:tc>
        <w:tc>
          <w:tcPr>
            <w:tcW w:w="81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5"/>
              <w:spacing w:before="59" w:line="220" w:lineRule="auto"/>
              <w:rPr/>
            </w:pPr>
            <w:r>
              <w:rPr>
                <w:spacing w:val="-6"/>
              </w:rPr>
              <w:t>万元</w:t>
            </w:r>
          </w:p>
        </w:tc>
        <w:tc>
          <w:tcPr>
            <w:tcW w:w="80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58" w:line="183" w:lineRule="auto"/>
              <w:rPr/>
            </w:pPr>
            <w:r>
              <w:rPr>
                <w:spacing w:val="-2"/>
              </w:rPr>
              <w:t>9.39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" w:hRule="atLeast"/>
        </w:trPr>
        <w:tc>
          <w:tcPr>
            <w:tcW w:w="8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 w:right="162" w:hanging="176"/>
              <w:spacing w:before="58" w:line="307" w:lineRule="auto"/>
              <w:rPr/>
            </w:pPr>
            <w:r>
              <w:rPr>
                <w:spacing w:val="-4"/>
              </w:rPr>
              <w:t>效益指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ind w:left="349" w:right="160" w:hanging="180"/>
              <w:spacing w:before="177" w:line="312" w:lineRule="auto"/>
              <w:rPr/>
            </w:pPr>
            <w:r>
              <w:rPr>
                <w:spacing w:val="-3"/>
              </w:rPr>
              <w:t>社会效</w:t>
            </w:r>
            <w:r>
              <w:rPr/>
              <w:t xml:space="preserve"> </w:t>
            </w:r>
            <w:r>
              <w:rPr/>
              <w:t>益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228" w:right="129" w:hanging="91"/>
              <w:spacing w:before="177" w:line="307" w:lineRule="auto"/>
              <w:rPr/>
            </w:pPr>
            <w:r>
              <w:rPr>
                <w:spacing w:val="-3"/>
              </w:rPr>
              <w:t>保险覆</w:t>
            </w:r>
            <w:r>
              <w:rPr/>
              <w:t xml:space="preserve"> </w:t>
            </w:r>
            <w:r>
              <w:rPr>
                <w:spacing w:val="-4"/>
              </w:rPr>
              <w:t>盖率</w:t>
            </w:r>
          </w:p>
        </w:tc>
        <w:tc>
          <w:tcPr>
            <w:tcW w:w="80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177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3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6" w:hRule="atLeast"/>
        </w:trPr>
        <w:tc>
          <w:tcPr>
            <w:tcW w:w="8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7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 w:right="160" w:hanging="87"/>
              <w:spacing w:before="58" w:line="308" w:lineRule="auto"/>
              <w:rPr/>
            </w:pPr>
            <w:r>
              <w:rPr>
                <w:spacing w:val="-3"/>
              </w:rPr>
              <w:t>可持续</w:t>
            </w:r>
            <w:r>
              <w:rPr/>
              <w:t xml:space="preserve"> </w:t>
            </w:r>
            <w:r>
              <w:rPr>
                <w:spacing w:val="-4"/>
              </w:rPr>
              <w:t>影响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6"/>
              <w:spacing w:before="71" w:line="220" w:lineRule="auto"/>
              <w:rPr/>
            </w:pPr>
            <w:r>
              <w:rPr>
                <w:spacing w:val="-3"/>
              </w:rPr>
              <w:t>确保职</w:t>
            </w:r>
          </w:p>
          <w:p>
            <w:pPr>
              <w:pStyle w:val="TableText"/>
              <w:ind w:left="138"/>
              <w:spacing w:before="97" w:line="219" w:lineRule="auto"/>
              <w:rPr/>
            </w:pPr>
            <w:r>
              <w:rPr>
                <w:spacing w:val="-4"/>
              </w:rPr>
              <w:t>工基本</w:t>
            </w:r>
          </w:p>
          <w:p>
            <w:pPr>
              <w:pStyle w:val="TableText"/>
              <w:ind w:left="137"/>
              <w:spacing w:before="99" w:line="219" w:lineRule="auto"/>
              <w:rPr/>
            </w:pPr>
            <w:r>
              <w:rPr>
                <w:spacing w:val="-3"/>
              </w:rPr>
              <w:t>养老保</w:t>
            </w:r>
          </w:p>
          <w:p>
            <w:pPr>
              <w:pStyle w:val="TableText"/>
              <w:ind w:left="146"/>
              <w:spacing w:before="98" w:line="220" w:lineRule="auto"/>
              <w:rPr/>
            </w:pPr>
            <w:r>
              <w:rPr>
                <w:spacing w:val="-6"/>
              </w:rPr>
              <w:t>险制度</w:t>
            </w:r>
          </w:p>
          <w:p>
            <w:pPr>
              <w:pStyle w:val="TableText"/>
              <w:ind w:left="135"/>
              <w:spacing w:before="97" w:line="219" w:lineRule="auto"/>
              <w:rPr/>
            </w:pPr>
            <w:r>
              <w:rPr>
                <w:spacing w:val="-3"/>
              </w:rPr>
              <w:t>平稳制</w:t>
            </w:r>
          </w:p>
          <w:p>
            <w:pPr>
              <w:pStyle w:val="TableText"/>
              <w:ind w:left="315"/>
              <w:spacing w:before="98" w:line="220" w:lineRule="auto"/>
              <w:rPr/>
            </w:pPr>
            <w:r>
              <w:rPr/>
              <w:t>度</w:t>
            </w:r>
          </w:p>
        </w:tc>
        <w:tc>
          <w:tcPr>
            <w:tcW w:w="80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131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9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3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8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9" w:type="dxa"/>
            <w:vAlign w:val="top"/>
          </w:tcPr>
          <w:p>
            <w:pPr>
              <w:pStyle w:val="TableText"/>
              <w:ind w:left="258" w:right="162" w:hanging="90"/>
              <w:spacing w:before="227" w:line="307" w:lineRule="auto"/>
              <w:rPr/>
            </w:pPr>
            <w:r>
              <w:rPr>
                <w:spacing w:val="-3"/>
              </w:rPr>
              <w:t>满意度</w:t>
            </w:r>
            <w:r>
              <w:rPr/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ind w:left="168"/>
              <w:spacing w:before="71" w:line="219" w:lineRule="auto"/>
              <w:rPr/>
            </w:pPr>
            <w:r>
              <w:rPr>
                <w:spacing w:val="-3"/>
              </w:rPr>
              <w:t>服务对</w:t>
            </w:r>
          </w:p>
          <w:p>
            <w:pPr>
              <w:pStyle w:val="TableText"/>
              <w:ind w:left="174"/>
              <w:spacing w:before="98" w:line="219" w:lineRule="auto"/>
              <w:rPr/>
            </w:pPr>
            <w:r>
              <w:rPr>
                <w:spacing w:val="-5"/>
              </w:rPr>
              <w:t>象满意</w:t>
            </w:r>
          </w:p>
          <w:p>
            <w:pPr>
              <w:pStyle w:val="TableText"/>
              <w:ind w:left="347"/>
              <w:spacing w:before="98" w:line="220" w:lineRule="auto"/>
              <w:rPr/>
            </w:pPr>
            <w:r>
              <w:rPr/>
              <w:t>度</w:t>
            </w:r>
          </w:p>
        </w:tc>
        <w:tc>
          <w:tcPr>
            <w:tcW w:w="804" w:type="dxa"/>
            <w:vAlign w:val="top"/>
          </w:tcPr>
          <w:p>
            <w:pPr>
              <w:pStyle w:val="TableText"/>
              <w:ind w:left="136" w:right="129"/>
              <w:spacing w:before="72" w:line="293" w:lineRule="auto"/>
              <w:jc w:val="both"/>
              <w:rPr/>
            </w:pPr>
            <w:r>
              <w:rPr>
                <w:spacing w:val="-3"/>
              </w:rPr>
              <w:t>享受养</w:t>
            </w:r>
            <w:r>
              <w:rPr/>
              <w:t xml:space="preserve"> </w:t>
            </w:r>
            <w:r>
              <w:rPr>
                <w:spacing w:val="-3"/>
              </w:rPr>
              <w:t>老保险</w:t>
            </w:r>
            <w:r>
              <w:rPr/>
              <w:t xml:space="preserve"> </w:t>
            </w:r>
            <w:r>
              <w:rPr>
                <w:spacing w:val="-3"/>
              </w:rPr>
              <w:t>满意度</w:t>
            </w:r>
          </w:p>
        </w:tc>
        <w:tc>
          <w:tcPr>
            <w:tcW w:w="80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808" w:type="dxa"/>
            <w:vAlign w:val="top"/>
          </w:tcPr>
          <w:p>
            <w:pPr>
              <w:pStyle w:val="TableText"/>
              <w:ind w:left="321" w:right="131" w:hanging="180"/>
              <w:spacing w:before="226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806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1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805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5" w:hRule="atLeast"/>
        </w:trPr>
        <w:tc>
          <w:tcPr>
            <w:tcW w:w="7446" w:type="dxa"/>
            <w:vAlign w:val="top"/>
            <w:gridSpan w:val="9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3"/>
              <w:spacing w:before="58" w:line="220" w:lineRule="auto"/>
              <w:rPr/>
            </w:pPr>
            <w:r>
              <w:rPr>
                <w:spacing w:val="-6"/>
              </w:rPr>
              <w:t>总分</w:t>
            </w:r>
          </w:p>
        </w:tc>
        <w:tc>
          <w:tcPr>
            <w:tcW w:w="8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58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3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58" w:line="183" w:lineRule="auto"/>
              <w:rPr/>
            </w:pPr>
            <w:r>
              <w:rPr>
                <w:spacing w:val="-2"/>
              </w:rPr>
              <w:t>98.77</w:t>
            </w:r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9" w:hRule="atLeast"/>
        </w:trPr>
        <w:tc>
          <w:tcPr>
            <w:tcW w:w="7446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132" w:firstLine="633"/>
        <w:spacing w:before="101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2.市工人文化宫运行经费项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目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自评综述：根据年初设定</w:t>
      </w:r>
      <w:r>
        <w:rPr>
          <w:rFonts w:ascii="FangSong" w:hAnsi="FangSong" w:eastAsia="FangSong" w:cs="FangSong"/>
          <w:sz w:val="31"/>
          <w:szCs w:val="31"/>
          <w:spacing w:val="-5"/>
        </w:rPr>
        <w:t>的绩效目标，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项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目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自评得分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99.95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分。全年预算数为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300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，执行数为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298.45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元，完成预算的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99.49%。绩效目标实际完成情况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：物</w:t>
      </w:r>
      <w:r>
        <w:rPr>
          <w:rFonts w:ascii="FangSong" w:hAnsi="FangSong" w:eastAsia="FangSong" w:cs="FangSong"/>
          <w:sz w:val="31"/>
          <w:szCs w:val="31"/>
          <w:spacing w:val="7"/>
        </w:rPr>
        <w:t>业公司对房屋及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4"/>
        </w:rPr>
        <w:t>配套设施设备和相关场地进行维修、养护、管理，维护物业区</w:t>
      </w:r>
      <w:r>
        <w:rPr>
          <w:rFonts w:ascii="FangSong" w:hAnsi="FangSong" w:eastAsia="FangSong" w:cs="FangSong"/>
          <w:sz w:val="31"/>
          <w:szCs w:val="31"/>
          <w:spacing w:val="13"/>
        </w:rPr>
        <w:t>域内的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环境卫生和相关秩序活动。其中项目绩效情况：</w:t>
      </w:r>
    </w:p>
    <w:p>
      <w:pPr>
        <w:ind w:left="552"/>
        <w:spacing w:before="149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(一)</w:t>
      </w:r>
      <w:r>
        <w:rPr>
          <w:rFonts w:ascii="FangSong" w:hAnsi="FangSong" w:eastAsia="FangSong" w:cs="FangSong"/>
          <w:sz w:val="31"/>
          <w:szCs w:val="31"/>
          <w:spacing w:val="3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产出指标完成情况</w:t>
      </w:r>
    </w:p>
    <w:p>
      <w:pPr>
        <w:ind w:left="547"/>
        <w:spacing w:before="207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"/>
        </w:rPr>
        <w:t>1、数量指标</w:t>
      </w:r>
    </w:p>
    <w:p>
      <w:pPr>
        <w:ind w:left="577" w:right="260" w:hanging="55"/>
        <w:spacing w:before="211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（1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)供暖面积及物业管理面积，目标值大于等</w:t>
      </w:r>
      <w:r>
        <w:rPr>
          <w:rFonts w:ascii="FangSong" w:hAnsi="FangSong" w:eastAsia="FangSong" w:cs="FangSong"/>
          <w:sz w:val="31"/>
          <w:szCs w:val="31"/>
          <w:spacing w:val="1"/>
        </w:rPr>
        <w:t>于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33898.31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平米，实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际完成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33898.31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平米，分值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15。</w:t>
      </w:r>
    </w:p>
    <w:p>
      <w:pPr>
        <w:spacing w:line="350" w:lineRule="auto"/>
        <w:sectPr>
          <w:footerReference w:type="default" r:id="rId21"/>
          <w:pgSz w:w="11906" w:h="16839"/>
          <w:pgMar w:top="1431" w:right="823" w:bottom="1091" w:left="970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1"/>
        <w:spacing w:before="228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2、质量指标</w:t>
      </w:r>
    </w:p>
    <w:p>
      <w:pPr>
        <w:ind w:left="40" w:right="100" w:hanging="40"/>
        <w:spacing w:before="210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（2</w:t>
      </w:r>
      <w:r>
        <w:rPr>
          <w:rFonts w:ascii="FangSong" w:hAnsi="FangSong" w:eastAsia="FangSong" w:cs="FangSong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)供暖热度及环境整洁程度，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95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百分比</w:t>
      </w:r>
      <w:r>
        <w:rPr>
          <w:rFonts w:ascii="FangSong" w:hAnsi="FangSong" w:eastAsia="FangSong" w:cs="FangSong"/>
          <w:sz w:val="31"/>
          <w:szCs w:val="31"/>
          <w:spacing w:val="6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，实际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完成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95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百分比</w:t>
      </w:r>
      <w:r>
        <w:rPr>
          <w:rFonts w:ascii="FangSong" w:hAnsi="FangSong" w:eastAsia="FangSong" w:cs="FangSong"/>
          <w:sz w:val="31"/>
          <w:szCs w:val="31"/>
          <w:spacing w:val="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，分值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15，得分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15。</w:t>
      </w:r>
    </w:p>
    <w:p>
      <w:pPr>
        <w:ind w:left="17"/>
        <w:spacing w:before="65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3、时效指标</w:t>
      </w:r>
    </w:p>
    <w:p>
      <w:pPr>
        <w:ind w:left="25" w:right="100" w:hanging="26"/>
        <w:spacing w:before="209" w:line="30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（3)供暖时效及卫生清理时效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，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，实际完成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年，分值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10。</w:t>
      </w:r>
    </w:p>
    <w:p>
      <w:pPr>
        <w:ind w:left="21"/>
        <w:spacing w:before="207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4、成本指标</w:t>
      </w:r>
    </w:p>
    <w:p>
      <w:pPr>
        <w:ind w:left="40" w:right="100" w:hanging="40"/>
        <w:spacing w:before="211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（4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)供暖费用及物业清扫成本，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目标值大于等</w:t>
      </w:r>
      <w:r>
        <w:rPr>
          <w:rFonts w:ascii="FangSong" w:hAnsi="FangSong" w:eastAsia="FangSong" w:cs="FangSong"/>
          <w:sz w:val="31"/>
          <w:szCs w:val="31"/>
          <w:spacing w:val="2"/>
        </w:rPr>
        <w:t>于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3000000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元，实际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完成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2984500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元，分值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9.95。</w:t>
      </w:r>
    </w:p>
    <w:p>
      <w:pPr>
        <w:ind w:left="29"/>
        <w:spacing w:before="62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(二)</w:t>
      </w:r>
      <w:r>
        <w:rPr>
          <w:rFonts w:ascii="FangSong" w:hAnsi="FangSong" w:eastAsia="FangSong" w:cs="FangSong"/>
          <w:sz w:val="31"/>
          <w:szCs w:val="31"/>
          <w:spacing w:val="35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  <w:position w:val="1"/>
        </w:rPr>
        <w:t>效益指标完成情况</w:t>
      </w:r>
    </w:p>
    <w:p>
      <w:pPr>
        <w:ind w:left="19"/>
        <w:spacing w:before="210"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5、无经济效益</w:t>
      </w:r>
    </w:p>
    <w:p>
      <w:pPr>
        <w:ind w:left="21"/>
        <w:spacing w:before="211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"/>
        </w:rPr>
        <w:t>6、无社会效益</w:t>
      </w:r>
    </w:p>
    <w:p>
      <w:pPr>
        <w:ind w:left="20"/>
        <w:spacing w:before="207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7、无生态效益</w:t>
      </w:r>
    </w:p>
    <w:p>
      <w:pPr>
        <w:ind w:left="19"/>
        <w:spacing w:before="209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8、可持续影响</w:t>
      </w:r>
    </w:p>
    <w:p>
      <w:pPr>
        <w:ind w:left="27" w:right="122" w:hanging="28"/>
        <w:spacing w:before="207" w:line="30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（5)供暖期及物业服务期，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目标值大于等于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6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月，实际完成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12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月，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分值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30，得分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30。</w:t>
      </w:r>
    </w:p>
    <w:p>
      <w:pPr>
        <w:ind w:left="29"/>
        <w:spacing w:before="210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>(三)</w:t>
      </w:r>
      <w:r>
        <w:rPr>
          <w:rFonts w:ascii="FangSong" w:hAnsi="FangSong" w:eastAsia="FangSong" w:cs="FangSong"/>
          <w:sz w:val="31"/>
          <w:szCs w:val="31"/>
          <w:spacing w:val="42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>满意度指标完成情况</w:t>
      </w:r>
    </w:p>
    <w:p>
      <w:pPr>
        <w:ind w:left="21"/>
        <w:spacing w:before="208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  <w:position w:val="1"/>
        </w:rPr>
        <w:t>9、服务对象满意度</w:t>
      </w:r>
    </w:p>
    <w:p>
      <w:pPr>
        <w:ind w:left="41" w:hanging="42"/>
        <w:spacing w:before="207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（6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)对供暖热度及环境整洁的满意度，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目标值大</w:t>
      </w:r>
      <w:r>
        <w:rPr>
          <w:rFonts w:ascii="FangSong" w:hAnsi="FangSong" w:eastAsia="FangSong" w:cs="FangSong"/>
          <w:sz w:val="31"/>
          <w:szCs w:val="31"/>
          <w:spacing w:val="-1"/>
        </w:rPr>
        <w:t>于等于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95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百分比，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实际完成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95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百分比，分值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10，得分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10。</w:t>
      </w:r>
    </w:p>
    <w:p>
      <w:pPr>
        <w:spacing w:before="63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49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  <w:position w:val="1"/>
        </w:rPr>
        <w:t>四）自评得分情况</w:t>
      </w:r>
    </w:p>
    <w:p>
      <w:pPr>
        <w:spacing w:before="208" w:line="41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  <w:position w:val="1"/>
        </w:rPr>
        <w:t>本项目绩效自评得分</w:t>
      </w:r>
      <w:r>
        <w:rPr>
          <w:rFonts w:ascii="FangSong" w:hAnsi="FangSong" w:eastAsia="FangSong" w:cs="FangSong"/>
          <w:sz w:val="31"/>
          <w:szCs w:val="31"/>
          <w:spacing w:val="-5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  <w:position w:val="1"/>
        </w:rPr>
        <w:t>99.95</w:t>
      </w:r>
      <w:r>
        <w:rPr>
          <w:rFonts w:ascii="FangSong" w:hAnsi="FangSong" w:eastAsia="FangSong" w:cs="FangSong"/>
          <w:sz w:val="31"/>
          <w:szCs w:val="31"/>
          <w:spacing w:val="-56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  <w:position w:val="1"/>
        </w:rPr>
        <w:t>分，等级为</w:t>
      </w:r>
      <w:r>
        <w:rPr>
          <w:rFonts w:ascii="FangSong" w:hAnsi="FangSong" w:eastAsia="FangSong" w:cs="FangSong"/>
          <w:sz w:val="31"/>
          <w:szCs w:val="31"/>
          <w:spacing w:val="-70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  <w:position w:val="1"/>
        </w:rPr>
        <w:t>A。发现的主要问题及原因：</w:t>
      </w:r>
    </w:p>
    <w:p>
      <w:pPr>
        <w:spacing w:line="411" w:lineRule="exact"/>
        <w:sectPr>
          <w:footerReference w:type="default" r:id="rId22"/>
          <w:pgSz w:w="11906" w:h="16839"/>
          <w:pgMar w:top="1431" w:right="984" w:bottom="1091" w:left="1493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34" w:right="114" w:firstLine="3"/>
        <w:spacing w:before="226" w:line="35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立项过程中存在有些指标考虑不周全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，设置不合理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，和实际实施过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程中有偏差。下一步改进措施：今后将更加准确的进行测</w:t>
      </w:r>
      <w:r>
        <w:rPr>
          <w:rFonts w:ascii="FangSong" w:hAnsi="FangSong" w:eastAsia="FangSong" w:cs="FangSong"/>
          <w:sz w:val="31"/>
          <w:szCs w:val="31"/>
          <w:spacing w:val="13"/>
        </w:rPr>
        <w:t>评测算运行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经费。</w:t>
      </w:r>
    </w:p>
    <w:p>
      <w:pPr>
        <w:spacing w:before="220"/>
        <w:rPr/>
      </w:pPr>
      <w:r/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6"/>
        <w:gridCol w:w="843"/>
        <w:gridCol w:w="841"/>
        <w:gridCol w:w="778"/>
        <w:gridCol w:w="778"/>
        <w:gridCol w:w="782"/>
        <w:gridCol w:w="935"/>
        <w:gridCol w:w="935"/>
        <w:gridCol w:w="784"/>
        <w:gridCol w:w="778"/>
        <w:gridCol w:w="809"/>
        <w:gridCol w:w="851"/>
      </w:tblGrid>
      <w:tr>
        <w:trPr>
          <w:trHeight w:val="1258" w:hRule="atLeast"/>
        </w:trPr>
        <w:tc>
          <w:tcPr>
            <w:tcW w:w="9960" w:type="dxa"/>
            <w:vAlign w:val="top"/>
            <w:gridSpan w:val="12"/>
          </w:tcPr>
          <w:p>
            <w:pPr>
              <w:ind w:left="3552"/>
              <w:spacing w:before="140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5"/>
                <w:position w:val="1"/>
              </w:rPr>
              <w:t>项目支出绩效自评表</w:t>
            </w:r>
          </w:p>
          <w:p>
            <w:pPr>
              <w:ind w:left="4108"/>
              <w:spacing w:before="212" w:line="412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-8"/>
                <w:position w:val="1"/>
              </w:rPr>
              <w:t>(2023</w:t>
            </w:r>
            <w:r>
              <w:rPr>
                <w:rFonts w:ascii="FangSong" w:hAnsi="FangSong" w:eastAsia="FangSong" w:cs="FangSong"/>
                <w:sz w:val="31"/>
                <w:szCs w:val="31"/>
                <w:spacing w:val="-56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b/>
                <w:bCs/>
                <w:spacing w:val="-8"/>
                <w:position w:val="1"/>
              </w:rPr>
              <w:t>年度）</w:t>
            </w:r>
          </w:p>
        </w:tc>
      </w:tr>
      <w:tr>
        <w:trPr>
          <w:trHeight w:val="385" w:hRule="atLeast"/>
        </w:trPr>
        <w:tc>
          <w:tcPr>
            <w:tcW w:w="1689" w:type="dxa"/>
            <w:vAlign w:val="top"/>
            <w:gridSpan w:val="2"/>
          </w:tcPr>
          <w:p>
            <w:pPr>
              <w:pStyle w:val="TableText"/>
              <w:ind w:left="868"/>
              <w:spacing w:before="102" w:line="220" w:lineRule="auto"/>
              <w:rPr/>
            </w:pPr>
            <w:r>
              <w:rPr>
                <w:spacing w:val="-3"/>
              </w:rPr>
              <w:t>项目名称</w:t>
            </w:r>
          </w:p>
        </w:tc>
        <w:tc>
          <w:tcPr>
            <w:tcW w:w="8271" w:type="dxa"/>
            <w:vAlign w:val="top"/>
            <w:gridSpan w:val="10"/>
          </w:tcPr>
          <w:p>
            <w:pPr>
              <w:pStyle w:val="TableText"/>
              <w:ind w:left="117"/>
              <w:spacing w:before="102" w:line="219" w:lineRule="auto"/>
              <w:rPr/>
            </w:pPr>
            <w:r>
              <w:rPr>
                <w:spacing w:val="-2"/>
              </w:rPr>
              <w:t>市工人文化宫运行经费</w:t>
            </w:r>
          </w:p>
        </w:tc>
      </w:tr>
      <w:tr>
        <w:trPr>
          <w:trHeight w:val="385" w:hRule="atLeast"/>
        </w:trPr>
        <w:tc>
          <w:tcPr>
            <w:tcW w:w="1689" w:type="dxa"/>
            <w:vAlign w:val="top"/>
            <w:gridSpan w:val="2"/>
          </w:tcPr>
          <w:p>
            <w:pPr>
              <w:pStyle w:val="TableText"/>
              <w:ind w:left="866"/>
              <w:spacing w:before="101" w:line="219" w:lineRule="auto"/>
              <w:rPr/>
            </w:pPr>
            <w:r>
              <w:rPr>
                <w:spacing w:val="-3"/>
              </w:rPr>
              <w:t>主管部门</w:t>
            </w:r>
          </w:p>
        </w:tc>
        <w:tc>
          <w:tcPr>
            <w:tcW w:w="3179" w:type="dxa"/>
            <w:vAlign w:val="top"/>
            <w:gridSpan w:val="4"/>
          </w:tcPr>
          <w:p>
            <w:pPr>
              <w:pStyle w:val="TableText"/>
              <w:ind w:left="112"/>
              <w:spacing w:before="100" w:line="219" w:lineRule="auto"/>
              <w:rPr/>
            </w:pPr>
            <w:r>
              <w:rPr>
                <w:spacing w:val="-1"/>
              </w:rPr>
              <w:t>鄂尔多斯市总工会（部门）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pStyle w:val="TableText"/>
              <w:ind w:left="1053"/>
              <w:spacing w:before="101" w:line="220" w:lineRule="auto"/>
              <w:rPr/>
            </w:pPr>
            <w:r>
              <w:rPr>
                <w:spacing w:val="-3"/>
              </w:rPr>
              <w:t>实施单位</w:t>
            </w:r>
          </w:p>
        </w:tc>
        <w:tc>
          <w:tcPr>
            <w:tcW w:w="3222" w:type="dxa"/>
            <w:vAlign w:val="top"/>
            <w:gridSpan w:val="4"/>
          </w:tcPr>
          <w:p>
            <w:pPr>
              <w:pStyle w:val="TableText"/>
              <w:ind w:left="115"/>
              <w:spacing w:before="101" w:line="219" w:lineRule="auto"/>
              <w:rPr/>
            </w:pPr>
            <w:r>
              <w:rPr>
                <w:spacing w:val="-1"/>
              </w:rPr>
              <w:t>鄂尔多斯市工人文化宫</w:t>
            </w:r>
          </w:p>
        </w:tc>
      </w:tr>
      <w:tr>
        <w:trPr>
          <w:trHeight w:val="629" w:hRule="atLeast"/>
        </w:trPr>
        <w:tc>
          <w:tcPr>
            <w:tcW w:w="168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" w:right="482" w:hanging="6"/>
              <w:spacing w:before="59" w:line="307" w:lineRule="auto"/>
              <w:rPr/>
            </w:pPr>
            <w:r>
              <w:rPr>
                <w:spacing w:val="-3"/>
              </w:rPr>
              <w:t>项目资金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（万元）</w:t>
            </w:r>
          </w:p>
        </w:tc>
        <w:tc>
          <w:tcPr>
            <w:tcW w:w="8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8" w:type="dxa"/>
            <w:vAlign w:val="top"/>
          </w:tcPr>
          <w:p>
            <w:pPr>
              <w:pStyle w:val="TableText"/>
              <w:ind w:left="215" w:right="116" w:hanging="91"/>
              <w:spacing w:before="67" w:line="283" w:lineRule="auto"/>
              <w:rPr/>
            </w:pPr>
            <w:r>
              <w:rPr>
                <w:spacing w:val="-3"/>
              </w:rPr>
              <w:t>年初预</w:t>
            </w:r>
            <w:r>
              <w:rPr/>
              <w:t xml:space="preserve"> </w:t>
            </w:r>
            <w:r>
              <w:rPr>
                <w:spacing w:val="-5"/>
              </w:rPr>
              <w:t>算数</w:t>
            </w:r>
          </w:p>
        </w:tc>
        <w:tc>
          <w:tcPr>
            <w:tcW w:w="1560" w:type="dxa"/>
            <w:vAlign w:val="top"/>
            <w:gridSpan w:val="2"/>
          </w:tcPr>
          <w:p>
            <w:pPr>
              <w:pStyle w:val="TableText"/>
              <w:ind w:left="334"/>
              <w:spacing w:before="222" w:line="219" w:lineRule="auto"/>
              <w:rPr/>
            </w:pPr>
            <w:r>
              <w:rPr>
                <w:spacing w:val="-2"/>
              </w:rPr>
              <w:t>全年预算数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pStyle w:val="TableText"/>
              <w:ind w:left="490"/>
              <w:spacing w:before="222" w:line="219" w:lineRule="auto"/>
              <w:rPr/>
            </w:pPr>
            <w:r>
              <w:rPr>
                <w:spacing w:val="-2"/>
              </w:rPr>
              <w:t>全年执行数</w:t>
            </w:r>
          </w:p>
        </w:tc>
        <w:tc>
          <w:tcPr>
            <w:tcW w:w="784" w:type="dxa"/>
            <w:vAlign w:val="top"/>
          </w:tcPr>
          <w:p>
            <w:pPr>
              <w:pStyle w:val="TableText"/>
              <w:ind w:left="220"/>
              <w:spacing w:before="222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1587" w:type="dxa"/>
            <w:vAlign w:val="top"/>
            <w:gridSpan w:val="2"/>
          </w:tcPr>
          <w:p>
            <w:pPr>
              <w:pStyle w:val="TableText"/>
              <w:ind w:left="305"/>
              <w:spacing w:before="222" w:line="219" w:lineRule="auto"/>
              <w:rPr/>
            </w:pPr>
            <w:r>
              <w:rPr>
                <w:spacing w:val="-2"/>
              </w:rPr>
              <w:t>执行率（%）</w:t>
            </w:r>
          </w:p>
        </w:tc>
        <w:tc>
          <w:tcPr>
            <w:tcW w:w="851" w:type="dxa"/>
            <w:vAlign w:val="top"/>
          </w:tcPr>
          <w:p>
            <w:pPr>
              <w:pStyle w:val="TableText"/>
              <w:ind w:left="250"/>
              <w:spacing w:before="222" w:line="219" w:lineRule="auto"/>
              <w:rPr/>
            </w:pPr>
            <w:r>
              <w:rPr>
                <w:spacing w:val="-4"/>
              </w:rPr>
              <w:t>得分</w:t>
            </w:r>
          </w:p>
        </w:tc>
      </w:tr>
      <w:tr>
        <w:trPr>
          <w:trHeight w:val="629" w:hRule="atLeast"/>
        </w:trPr>
        <w:tc>
          <w:tcPr>
            <w:tcW w:w="1689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pStyle w:val="TableText"/>
              <w:ind w:left="156" w:right="147"/>
              <w:spacing w:before="69" w:line="282" w:lineRule="auto"/>
              <w:rPr/>
            </w:pPr>
            <w:r>
              <w:rPr>
                <w:spacing w:val="-3"/>
              </w:rPr>
              <w:t>年度资</w:t>
            </w:r>
            <w:r>
              <w:rPr/>
              <w:t xml:space="preserve"> </w:t>
            </w:r>
            <w:r>
              <w:rPr>
                <w:spacing w:val="-3"/>
              </w:rPr>
              <w:t>金总额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15"/>
              <w:spacing w:before="252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0" w:type="dxa"/>
            <w:vAlign w:val="top"/>
            <w:gridSpan w:val="2"/>
          </w:tcPr>
          <w:p>
            <w:pPr>
              <w:pStyle w:val="TableText"/>
              <w:ind w:left="516"/>
              <w:spacing w:before="252" w:line="183" w:lineRule="auto"/>
              <w:rPr/>
            </w:pPr>
            <w:r>
              <w:rPr>
                <w:spacing w:val="-2"/>
              </w:rPr>
              <w:t>298.45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pStyle w:val="TableText"/>
              <w:ind w:left="672"/>
              <w:spacing w:before="252" w:line="183" w:lineRule="auto"/>
              <w:rPr/>
            </w:pPr>
            <w:r>
              <w:rPr>
                <w:spacing w:val="-2"/>
              </w:rPr>
              <w:t>298.45</w:t>
            </w:r>
          </w:p>
        </w:tc>
        <w:tc>
          <w:tcPr>
            <w:tcW w:w="784" w:type="dxa"/>
            <w:vAlign w:val="top"/>
          </w:tcPr>
          <w:p>
            <w:pPr>
              <w:pStyle w:val="TableText"/>
              <w:ind w:left="323"/>
              <w:spacing w:before="251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1587" w:type="dxa"/>
            <w:vAlign w:val="top"/>
            <w:gridSpan w:val="2"/>
          </w:tcPr>
          <w:p>
            <w:pPr>
              <w:pStyle w:val="TableText"/>
              <w:ind w:left="542"/>
              <w:spacing w:before="251" w:line="184" w:lineRule="auto"/>
              <w:rPr/>
            </w:pPr>
            <w:r>
              <w:rPr>
                <w:spacing w:val="-4"/>
              </w:rPr>
              <w:t>100.00</w:t>
            </w:r>
          </w:p>
        </w:tc>
        <w:tc>
          <w:tcPr>
            <w:tcW w:w="851" w:type="dxa"/>
            <w:vAlign w:val="top"/>
          </w:tcPr>
          <w:p>
            <w:pPr>
              <w:pStyle w:val="TableText"/>
              <w:ind w:left="352"/>
              <w:spacing w:before="251" w:line="184" w:lineRule="auto"/>
              <w:rPr/>
            </w:pPr>
            <w:r>
              <w:rPr>
                <w:spacing w:val="-10"/>
              </w:rPr>
              <w:t>10</w:t>
            </w:r>
          </w:p>
        </w:tc>
      </w:tr>
      <w:tr>
        <w:trPr>
          <w:trHeight w:val="941" w:hRule="atLeast"/>
        </w:trPr>
        <w:tc>
          <w:tcPr>
            <w:tcW w:w="1689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pStyle w:val="TableText"/>
              <w:ind w:left="113" w:right="190"/>
              <w:spacing w:before="68" w:line="295" w:lineRule="auto"/>
              <w:rPr/>
            </w:pPr>
            <w:r>
              <w:rPr>
                <w:spacing w:val="-3"/>
              </w:rPr>
              <w:t>其中：</w:t>
            </w:r>
            <w:r>
              <w:rPr/>
              <w:t xml:space="preserve"> </w:t>
            </w:r>
            <w:r>
              <w:rPr>
                <w:spacing w:val="-3"/>
              </w:rPr>
              <w:t>财政拨</w:t>
            </w:r>
            <w:r>
              <w:rPr/>
              <w:t xml:space="preserve"> </w:t>
            </w:r>
            <w:r>
              <w:rPr/>
              <w:t>款</w:t>
            </w:r>
          </w:p>
        </w:tc>
        <w:tc>
          <w:tcPr>
            <w:tcW w:w="778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59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0" w:type="dxa"/>
            <w:vAlign w:val="top"/>
            <w:gridSpan w:val="2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59" w:line="183" w:lineRule="auto"/>
              <w:rPr/>
            </w:pPr>
            <w:r>
              <w:rPr>
                <w:spacing w:val="-2"/>
              </w:rPr>
              <w:t>298.45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2"/>
              <w:spacing w:before="59" w:line="183" w:lineRule="auto"/>
              <w:rPr/>
            </w:pPr>
            <w:r>
              <w:rPr>
                <w:spacing w:val="-2"/>
              </w:rPr>
              <w:t>298.45</w:t>
            </w:r>
          </w:p>
        </w:tc>
        <w:tc>
          <w:tcPr>
            <w:tcW w:w="784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587" w:type="dxa"/>
            <w:vAlign w:val="top"/>
            <w:gridSpan w:val="2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2"/>
              <w:spacing w:before="59" w:line="184" w:lineRule="auto"/>
              <w:rPr/>
            </w:pPr>
            <w:r>
              <w:rPr>
                <w:spacing w:val="-4"/>
              </w:rPr>
              <w:t>100.00</w:t>
            </w:r>
          </w:p>
        </w:tc>
        <w:tc>
          <w:tcPr>
            <w:tcW w:w="85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689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pStyle w:val="TableText"/>
              <w:ind w:left="156" w:right="147"/>
              <w:spacing w:before="67" w:line="283" w:lineRule="auto"/>
              <w:rPr/>
            </w:pPr>
            <w:r>
              <w:rPr>
                <w:spacing w:val="-3"/>
              </w:rPr>
              <w:t>上年结</w:t>
            </w:r>
            <w:r>
              <w:rPr/>
              <w:t xml:space="preserve"> </w:t>
            </w:r>
            <w:r>
              <w:rPr>
                <w:spacing w:val="-3"/>
              </w:rPr>
              <w:t>转资金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15"/>
              <w:spacing w:before="252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0" w:type="dxa"/>
            <w:vAlign w:val="top"/>
            <w:gridSpan w:val="2"/>
          </w:tcPr>
          <w:p>
            <w:pPr>
              <w:pStyle w:val="TableText"/>
              <w:ind w:left="741"/>
              <w:spacing w:before="252" w:line="183" w:lineRule="auto"/>
              <w:rPr/>
            </w:pPr>
            <w:r>
              <w:rPr/>
              <w:t>0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pStyle w:val="TableText"/>
              <w:ind w:left="762"/>
              <w:spacing w:before="252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7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587" w:type="dxa"/>
            <w:vAlign w:val="top"/>
            <w:gridSpan w:val="2"/>
          </w:tcPr>
          <w:p>
            <w:pPr>
              <w:pStyle w:val="TableText"/>
              <w:ind w:left="756"/>
              <w:spacing w:before="252" w:line="183" w:lineRule="auto"/>
              <w:rPr/>
            </w:pPr>
            <w:r>
              <w:rPr/>
              <w:t>0</w:t>
            </w:r>
          </w:p>
        </w:tc>
        <w:tc>
          <w:tcPr>
            <w:tcW w:w="8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52" w:line="9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629" w:hRule="atLeast"/>
        </w:trPr>
        <w:tc>
          <w:tcPr>
            <w:tcW w:w="168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pStyle w:val="TableText"/>
              <w:ind w:left="336" w:right="147" w:hanging="180"/>
              <w:spacing w:before="67" w:line="283" w:lineRule="auto"/>
              <w:rPr/>
            </w:pPr>
            <w:r>
              <w:rPr>
                <w:spacing w:val="-3"/>
              </w:rPr>
              <w:t>其他资</w:t>
            </w:r>
            <w:r>
              <w:rPr/>
              <w:t xml:space="preserve"> </w:t>
            </w:r>
            <w:r>
              <w:rPr/>
              <w:t>金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15"/>
              <w:spacing w:before="251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0" w:type="dxa"/>
            <w:vAlign w:val="top"/>
            <w:gridSpan w:val="2"/>
          </w:tcPr>
          <w:p>
            <w:pPr>
              <w:pStyle w:val="TableText"/>
              <w:ind w:left="741"/>
              <w:spacing w:before="251" w:line="183" w:lineRule="auto"/>
              <w:rPr/>
            </w:pPr>
            <w:r>
              <w:rPr/>
              <w:t>0</w:t>
            </w:r>
          </w:p>
        </w:tc>
        <w:tc>
          <w:tcPr>
            <w:tcW w:w="1870" w:type="dxa"/>
            <w:vAlign w:val="top"/>
            <w:gridSpan w:val="2"/>
          </w:tcPr>
          <w:p>
            <w:pPr>
              <w:pStyle w:val="TableText"/>
              <w:ind w:left="762"/>
              <w:spacing w:before="251" w:line="183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7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  <w:tc>
          <w:tcPr>
            <w:tcW w:w="1587" w:type="dxa"/>
            <w:vAlign w:val="top"/>
            <w:gridSpan w:val="2"/>
          </w:tcPr>
          <w:p>
            <w:pPr>
              <w:pStyle w:val="TableText"/>
              <w:ind w:left="756"/>
              <w:spacing w:before="251" w:line="183" w:lineRule="auto"/>
              <w:rPr/>
            </w:pPr>
            <w:r>
              <w:rPr/>
              <w:t>0</w:t>
            </w:r>
          </w:p>
        </w:tc>
        <w:tc>
          <w:tcPr>
            <w:tcW w:w="8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51" w:line="9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22222"/>
                <w:spacing w:val="9"/>
                <w:position w:val="-2"/>
              </w:rPr>
              <w:t>——</w:t>
            </w:r>
          </w:p>
        </w:tc>
      </w:tr>
      <w:tr>
        <w:trPr>
          <w:trHeight w:val="385" w:hRule="atLeast"/>
        </w:trPr>
        <w:tc>
          <w:tcPr>
            <w:tcW w:w="168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/>
              <w:spacing w:before="59" w:line="219" w:lineRule="auto"/>
              <w:rPr/>
            </w:pPr>
            <w:r>
              <w:rPr>
                <w:spacing w:val="-2"/>
              </w:rPr>
              <w:t>年度总体目标</w:t>
            </w:r>
          </w:p>
        </w:tc>
        <w:tc>
          <w:tcPr>
            <w:tcW w:w="4114" w:type="dxa"/>
            <w:vAlign w:val="top"/>
            <w:gridSpan w:val="5"/>
          </w:tcPr>
          <w:p>
            <w:pPr>
              <w:pStyle w:val="TableText"/>
              <w:ind w:left="1702"/>
              <w:spacing w:before="100" w:line="220" w:lineRule="auto"/>
              <w:rPr/>
            </w:pPr>
            <w:r>
              <w:rPr>
                <w:spacing w:val="-3"/>
              </w:rPr>
              <w:t>预期目标</w:t>
            </w:r>
          </w:p>
        </w:tc>
        <w:tc>
          <w:tcPr>
            <w:tcW w:w="4157" w:type="dxa"/>
            <w:vAlign w:val="top"/>
            <w:gridSpan w:val="5"/>
          </w:tcPr>
          <w:p>
            <w:pPr>
              <w:pStyle w:val="TableText"/>
              <w:ind w:left="1546"/>
              <w:spacing w:before="100" w:line="219" w:lineRule="auto"/>
              <w:rPr/>
            </w:pPr>
            <w:r>
              <w:rPr>
                <w:spacing w:val="-2"/>
              </w:rPr>
              <w:t>实际完成情况</w:t>
            </w:r>
          </w:p>
        </w:tc>
      </w:tr>
      <w:tr>
        <w:trPr>
          <w:trHeight w:val="1125" w:hRule="atLeast"/>
        </w:trPr>
        <w:tc>
          <w:tcPr>
            <w:tcW w:w="168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4" w:type="dxa"/>
            <w:vAlign w:val="top"/>
            <w:gridSpan w:val="5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6"/>
              <w:spacing w:before="58" w:line="183" w:lineRule="auto"/>
              <w:rPr/>
            </w:pPr>
            <w:r>
              <w:rPr/>
              <w:t>9</w:t>
            </w:r>
          </w:p>
        </w:tc>
        <w:tc>
          <w:tcPr>
            <w:tcW w:w="4157" w:type="dxa"/>
            <w:vAlign w:val="top"/>
            <w:gridSpan w:val="5"/>
          </w:tcPr>
          <w:p>
            <w:pPr>
              <w:pStyle w:val="TableText"/>
              <w:ind w:left="193"/>
              <w:spacing w:before="159" w:line="220" w:lineRule="auto"/>
              <w:rPr/>
            </w:pPr>
            <w:r>
              <w:rPr>
                <w:spacing w:val="-1"/>
              </w:rPr>
              <w:t>物业公司对房屋及配套设施设备和相关场地进行</w:t>
            </w:r>
          </w:p>
          <w:p>
            <w:pPr>
              <w:pStyle w:val="TableText"/>
              <w:ind w:left="1453" w:right="106" w:hanging="1336"/>
              <w:spacing w:before="97" w:line="307" w:lineRule="auto"/>
              <w:rPr/>
            </w:pPr>
            <w:r>
              <w:rPr>
                <w:spacing w:val="-2"/>
              </w:rPr>
              <w:t>维修、养护、管理，维护物业区域内的环境卫生和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相关秩序活动。</w:t>
            </w:r>
          </w:p>
        </w:tc>
      </w:tr>
      <w:tr>
        <w:trPr>
          <w:trHeight w:val="1253" w:hRule="atLeast"/>
        </w:trPr>
        <w:tc>
          <w:tcPr>
            <w:tcW w:w="84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 w:right="150" w:hanging="177"/>
              <w:spacing w:before="58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43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 w:right="151" w:hanging="177"/>
              <w:spacing w:before="58" w:line="307" w:lineRule="auto"/>
              <w:rPr/>
            </w:pPr>
            <w:r>
              <w:rPr>
                <w:spacing w:val="-4"/>
              </w:rPr>
              <w:t>一级指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41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 w:right="147" w:hanging="177"/>
              <w:spacing w:before="58" w:line="307" w:lineRule="auto"/>
              <w:rPr/>
            </w:pPr>
            <w:r>
              <w:rPr>
                <w:spacing w:val="-4"/>
              </w:rPr>
              <w:t>二级指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 w:right="116" w:hanging="180"/>
              <w:spacing w:before="58" w:line="307" w:lineRule="auto"/>
              <w:rPr/>
            </w:pPr>
            <w:r>
              <w:rPr>
                <w:spacing w:val="-3"/>
              </w:rPr>
              <w:t>三级指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 w:right="117" w:hanging="178"/>
              <w:spacing w:before="58" w:line="307" w:lineRule="auto"/>
              <w:rPr/>
            </w:pPr>
            <w:r>
              <w:rPr>
                <w:spacing w:val="-4"/>
              </w:rPr>
              <w:t>指标性</w:t>
            </w:r>
            <w:r>
              <w:rPr>
                <w:spacing w:val="1"/>
              </w:rPr>
              <w:t xml:space="preserve"> </w:t>
            </w:r>
            <w:r>
              <w:rPr/>
              <w:t>质</w:t>
            </w:r>
          </w:p>
        </w:tc>
        <w:tc>
          <w:tcPr>
            <w:tcW w:w="78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 w:right="119" w:hanging="196"/>
              <w:spacing w:before="59" w:line="307" w:lineRule="auto"/>
              <w:rPr/>
            </w:pPr>
            <w:r>
              <w:rPr>
                <w:spacing w:val="-4"/>
              </w:rPr>
              <w:t>指标方</w:t>
            </w:r>
            <w:r>
              <w:rPr>
                <w:spacing w:val="1"/>
              </w:rPr>
              <w:t xml:space="preserve"> </w:t>
            </w:r>
            <w:r>
              <w:rPr/>
              <w:t>向</w:t>
            </w:r>
          </w:p>
        </w:tc>
        <w:tc>
          <w:tcPr>
            <w:tcW w:w="93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03" w:hanging="268"/>
              <w:spacing w:before="58" w:line="307" w:lineRule="auto"/>
              <w:rPr/>
            </w:pPr>
            <w:r>
              <w:rPr>
                <w:spacing w:val="-2"/>
              </w:rPr>
              <w:t>年度指标</w:t>
            </w:r>
            <w:r>
              <w:rPr/>
              <w:t xml:space="preserve"> </w:t>
            </w:r>
            <w:r>
              <w:rPr/>
              <w:t>值</w:t>
            </w:r>
          </w:p>
        </w:tc>
        <w:tc>
          <w:tcPr>
            <w:tcW w:w="93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02" w:hanging="264"/>
              <w:spacing w:before="58" w:line="307" w:lineRule="auto"/>
              <w:rPr/>
            </w:pPr>
            <w:r>
              <w:rPr>
                <w:spacing w:val="-3"/>
              </w:rPr>
              <w:t>实际完成</w:t>
            </w:r>
            <w:r>
              <w:rPr/>
              <w:t xml:space="preserve"> </w:t>
            </w:r>
            <w:r>
              <w:rPr/>
              <w:t>值</w:t>
            </w:r>
          </w:p>
        </w:tc>
        <w:tc>
          <w:tcPr>
            <w:tcW w:w="78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 w:right="116" w:hanging="180"/>
              <w:spacing w:before="59" w:line="307" w:lineRule="auto"/>
              <w:rPr/>
            </w:pPr>
            <w:r>
              <w:rPr>
                <w:spacing w:val="-3"/>
              </w:rPr>
              <w:t>计量单</w:t>
            </w:r>
            <w:r>
              <w:rPr/>
              <w:t xml:space="preserve"> </w:t>
            </w:r>
            <w:r>
              <w:rPr/>
              <w:t>位</w:t>
            </w:r>
          </w:p>
        </w:tc>
        <w:tc>
          <w:tcPr>
            <w:tcW w:w="778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58" w:line="219" w:lineRule="auto"/>
              <w:rPr/>
            </w:pPr>
            <w:r>
              <w:rPr>
                <w:spacing w:val="-5"/>
              </w:rPr>
              <w:t>分值</w:t>
            </w:r>
          </w:p>
        </w:tc>
        <w:tc>
          <w:tcPr>
            <w:tcW w:w="809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219" w:lineRule="auto"/>
              <w:rPr/>
            </w:pPr>
            <w:r>
              <w:rPr>
                <w:spacing w:val="-4"/>
              </w:rPr>
              <w:t>得分</w:t>
            </w:r>
          </w:p>
        </w:tc>
        <w:tc>
          <w:tcPr>
            <w:tcW w:w="851" w:type="dxa"/>
            <w:vAlign w:val="top"/>
          </w:tcPr>
          <w:p>
            <w:pPr>
              <w:pStyle w:val="TableText"/>
              <w:ind w:left="114" w:right="197"/>
              <w:spacing w:before="69" w:line="301" w:lineRule="auto"/>
              <w:jc w:val="both"/>
              <w:rPr/>
            </w:pPr>
            <w:r>
              <w:rPr>
                <w:spacing w:val="-3"/>
              </w:rPr>
              <w:t>偏差原</w:t>
            </w:r>
            <w:r>
              <w:rPr/>
              <w:t xml:space="preserve"> </w:t>
            </w:r>
            <w:r>
              <w:rPr>
                <w:spacing w:val="-3"/>
              </w:rPr>
              <w:t>因分析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及改进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措施</w:t>
            </w:r>
          </w:p>
        </w:tc>
      </w:tr>
      <w:tr>
        <w:trPr>
          <w:trHeight w:val="1253" w:hRule="atLeast"/>
        </w:trPr>
        <w:tc>
          <w:tcPr>
            <w:tcW w:w="846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 w:right="150" w:hanging="177"/>
              <w:spacing w:before="59" w:line="307" w:lineRule="auto"/>
              <w:rPr/>
            </w:pPr>
            <w:r>
              <w:rPr>
                <w:spacing w:val="-4"/>
              </w:rPr>
              <w:t>绩效指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843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 w:right="151" w:hanging="180"/>
              <w:spacing w:before="59" w:line="307" w:lineRule="auto"/>
              <w:rPr/>
            </w:pPr>
            <w:r>
              <w:rPr>
                <w:spacing w:val="-3"/>
              </w:rPr>
              <w:t>产出指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4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6" w:right="147" w:hanging="179"/>
              <w:spacing w:before="59" w:line="307" w:lineRule="auto"/>
              <w:rPr/>
            </w:pPr>
            <w:r>
              <w:rPr>
                <w:spacing w:val="-3"/>
              </w:rPr>
              <w:t>数量指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23"/>
              <w:spacing w:before="67" w:line="219" w:lineRule="auto"/>
              <w:rPr/>
            </w:pPr>
            <w:r>
              <w:rPr>
                <w:spacing w:val="-3"/>
              </w:rPr>
              <w:t>供暖面</w:t>
            </w:r>
          </w:p>
          <w:p>
            <w:pPr>
              <w:pStyle w:val="TableText"/>
              <w:ind w:left="123"/>
              <w:spacing w:before="98" w:line="220" w:lineRule="auto"/>
              <w:rPr/>
            </w:pPr>
            <w:r>
              <w:rPr>
                <w:spacing w:val="-3"/>
              </w:rPr>
              <w:t>积及物</w:t>
            </w:r>
          </w:p>
          <w:p>
            <w:pPr>
              <w:pStyle w:val="TableText"/>
              <w:ind w:left="122"/>
              <w:spacing w:before="97" w:line="219" w:lineRule="auto"/>
              <w:rPr/>
            </w:pPr>
            <w:r>
              <w:rPr>
                <w:spacing w:val="-3"/>
              </w:rPr>
              <w:t>业管理</w:t>
            </w:r>
          </w:p>
          <w:p>
            <w:pPr>
              <w:pStyle w:val="TableText"/>
              <w:ind w:left="215"/>
              <w:spacing w:before="98" w:line="220" w:lineRule="auto"/>
              <w:rPr/>
            </w:pPr>
            <w:r>
              <w:rPr>
                <w:spacing w:val="-4"/>
              </w:rPr>
              <w:t>面积</w:t>
            </w:r>
          </w:p>
        </w:tc>
        <w:tc>
          <w:tcPr>
            <w:tcW w:w="778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19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59" w:line="184" w:lineRule="auto"/>
              <w:rPr/>
            </w:pPr>
            <w:r>
              <w:rPr>
                <w:spacing w:val="-2"/>
              </w:rPr>
              <w:t>33898.31</w:t>
            </w:r>
          </w:p>
        </w:tc>
        <w:tc>
          <w:tcPr>
            <w:tcW w:w="9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59" w:line="184" w:lineRule="auto"/>
              <w:rPr/>
            </w:pPr>
            <w:r>
              <w:rPr>
                <w:spacing w:val="-2"/>
              </w:rPr>
              <w:t>33898.31</w:t>
            </w:r>
          </w:p>
        </w:tc>
        <w:tc>
          <w:tcPr>
            <w:tcW w:w="784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9" w:line="219" w:lineRule="auto"/>
              <w:rPr/>
            </w:pPr>
            <w:r>
              <w:rPr>
                <w:spacing w:val="-4"/>
              </w:rPr>
              <w:t>平米</w:t>
            </w:r>
          </w:p>
        </w:tc>
        <w:tc>
          <w:tcPr>
            <w:tcW w:w="7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0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/>
              <w:spacing w:before="59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6" w:hRule="atLeast"/>
        </w:trPr>
        <w:tc>
          <w:tcPr>
            <w:tcW w:w="84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6" w:right="147" w:hanging="180"/>
              <w:spacing w:before="58" w:line="307" w:lineRule="auto"/>
              <w:rPr/>
            </w:pPr>
            <w:r>
              <w:rPr>
                <w:spacing w:val="-3"/>
              </w:rPr>
              <w:t>质量指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  <w:tcBorders>
              <w:bottom w:val="nil"/>
            </w:tcBorders>
          </w:tcPr>
          <w:p>
            <w:pPr>
              <w:pStyle w:val="TableText"/>
              <w:ind w:left="123"/>
              <w:spacing w:before="67" w:line="219" w:lineRule="auto"/>
              <w:rPr/>
            </w:pPr>
            <w:r>
              <w:rPr>
                <w:spacing w:val="-3"/>
              </w:rPr>
              <w:t>供暖热</w:t>
            </w:r>
          </w:p>
          <w:p>
            <w:pPr>
              <w:pStyle w:val="TableText"/>
              <w:ind w:left="122"/>
              <w:spacing w:before="98" w:line="220" w:lineRule="auto"/>
              <w:rPr/>
            </w:pPr>
            <w:r>
              <w:rPr>
                <w:spacing w:val="-3"/>
              </w:rPr>
              <w:t>度及环</w:t>
            </w:r>
          </w:p>
          <w:p>
            <w:pPr>
              <w:pStyle w:val="TableText"/>
              <w:ind w:left="124"/>
              <w:spacing w:before="97" w:line="220" w:lineRule="auto"/>
              <w:rPr/>
            </w:pPr>
            <w:r>
              <w:rPr>
                <w:spacing w:val="-3"/>
              </w:rPr>
              <w:t>境整洁</w:t>
            </w:r>
          </w:p>
          <w:p>
            <w:pPr>
              <w:pStyle w:val="TableText"/>
              <w:ind w:left="213"/>
              <w:spacing w:before="97" w:line="220" w:lineRule="auto"/>
              <w:rPr/>
            </w:pPr>
            <w:r>
              <w:rPr>
                <w:spacing w:val="-4"/>
              </w:rPr>
              <w:t>程度</w:t>
            </w:r>
          </w:p>
        </w:tc>
        <w:tc>
          <w:tcPr>
            <w:tcW w:w="778" w:type="dxa"/>
            <w:vAlign w:val="top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19" w:hanging="180"/>
              <w:spacing w:before="58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935" w:type="dxa"/>
            <w:vAlign w:val="top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58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784" w:type="dxa"/>
            <w:vAlign w:val="top"/>
            <w:tcBorders>
              <w:bottom w:val="nil"/>
            </w:tcBorders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58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778" w:type="dxa"/>
            <w:vAlign w:val="top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09" w:type="dxa"/>
            <w:vAlign w:val="top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/>
              <w:spacing w:before="58" w:line="184" w:lineRule="auto"/>
              <w:rPr/>
            </w:pPr>
            <w:r>
              <w:rPr>
                <w:spacing w:val="-10"/>
              </w:rPr>
              <w:t>15</w:t>
            </w:r>
          </w:p>
        </w:tc>
        <w:tc>
          <w:tcPr>
            <w:tcW w:w="85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6" w:h="16839"/>
          <w:pgMar w:top="1431" w:right="970" w:bottom="1091" w:left="970" w:header="0" w:footer="929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9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6"/>
        <w:gridCol w:w="843"/>
        <w:gridCol w:w="841"/>
        <w:gridCol w:w="778"/>
        <w:gridCol w:w="778"/>
        <w:gridCol w:w="782"/>
        <w:gridCol w:w="935"/>
        <w:gridCol w:w="935"/>
        <w:gridCol w:w="784"/>
        <w:gridCol w:w="778"/>
        <w:gridCol w:w="809"/>
        <w:gridCol w:w="851"/>
      </w:tblGrid>
      <w:tr>
        <w:trPr>
          <w:trHeight w:val="1257" w:hRule="atLeast"/>
        </w:trPr>
        <w:tc>
          <w:tcPr>
            <w:tcW w:w="84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6" w:right="147" w:hanging="172"/>
              <w:spacing w:before="58" w:line="307" w:lineRule="auto"/>
              <w:rPr/>
            </w:pPr>
            <w:r>
              <w:rPr>
                <w:spacing w:val="-6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23"/>
              <w:spacing w:before="71" w:line="219" w:lineRule="auto"/>
              <w:rPr/>
            </w:pPr>
            <w:r>
              <w:rPr>
                <w:spacing w:val="-3"/>
              </w:rPr>
              <w:t>供暖时</w:t>
            </w:r>
          </w:p>
          <w:p>
            <w:pPr>
              <w:pStyle w:val="TableText"/>
              <w:ind w:left="127"/>
              <w:spacing w:before="98" w:line="220" w:lineRule="auto"/>
              <w:rPr/>
            </w:pPr>
            <w:r>
              <w:rPr>
                <w:spacing w:val="-4"/>
              </w:rPr>
              <w:t>效及卫</w:t>
            </w:r>
          </w:p>
          <w:p>
            <w:pPr>
              <w:pStyle w:val="TableText"/>
              <w:ind w:left="124"/>
              <w:spacing w:before="97" w:line="220" w:lineRule="auto"/>
              <w:rPr/>
            </w:pPr>
            <w:r>
              <w:rPr>
                <w:spacing w:val="-3"/>
              </w:rPr>
              <w:t>生清理</w:t>
            </w:r>
          </w:p>
          <w:p>
            <w:pPr>
              <w:pStyle w:val="TableText"/>
              <w:ind w:left="223"/>
              <w:spacing w:before="97" w:line="220" w:lineRule="auto"/>
              <w:rPr/>
            </w:pPr>
            <w:r>
              <w:rPr>
                <w:spacing w:val="-8"/>
              </w:rPr>
              <w:t>时效</w:t>
            </w:r>
          </w:p>
        </w:tc>
        <w:tc>
          <w:tcPr>
            <w:tcW w:w="778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19" w:hanging="180"/>
              <w:spacing w:before="58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59" w:line="184" w:lineRule="auto"/>
              <w:rPr/>
            </w:pPr>
            <w:r>
              <w:rPr/>
              <w:t>1</w:t>
            </w:r>
          </w:p>
        </w:tc>
        <w:tc>
          <w:tcPr>
            <w:tcW w:w="9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2"/>
              <w:spacing w:before="59" w:line="184" w:lineRule="auto"/>
              <w:rPr/>
            </w:pPr>
            <w:r>
              <w:rPr/>
              <w:t>1</w:t>
            </w:r>
          </w:p>
        </w:tc>
        <w:tc>
          <w:tcPr>
            <w:tcW w:w="784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0"/>
              <w:spacing w:before="59" w:line="219" w:lineRule="auto"/>
              <w:rPr/>
            </w:pPr>
            <w:r>
              <w:rPr/>
              <w:t>年</w:t>
            </w:r>
          </w:p>
        </w:tc>
        <w:tc>
          <w:tcPr>
            <w:tcW w:w="77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0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8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6" w:right="147" w:hanging="179"/>
              <w:spacing w:before="58" w:line="307" w:lineRule="auto"/>
              <w:rPr/>
            </w:pPr>
            <w:r>
              <w:rPr>
                <w:spacing w:val="-3"/>
              </w:rPr>
              <w:t>成本指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23"/>
              <w:spacing w:before="67" w:line="219" w:lineRule="auto"/>
              <w:rPr/>
            </w:pPr>
            <w:r>
              <w:rPr>
                <w:spacing w:val="-3"/>
              </w:rPr>
              <w:t>供暖费</w:t>
            </w:r>
          </w:p>
          <w:p>
            <w:pPr>
              <w:pStyle w:val="TableText"/>
              <w:ind w:left="124"/>
              <w:spacing w:before="98" w:line="221" w:lineRule="auto"/>
              <w:rPr/>
            </w:pPr>
            <w:r>
              <w:rPr>
                <w:spacing w:val="-3"/>
              </w:rPr>
              <w:t>用及物</w:t>
            </w:r>
          </w:p>
          <w:p>
            <w:pPr>
              <w:pStyle w:val="TableText"/>
              <w:ind w:left="122"/>
              <w:spacing w:before="96" w:line="220" w:lineRule="auto"/>
              <w:rPr/>
            </w:pPr>
            <w:r>
              <w:rPr>
                <w:spacing w:val="-3"/>
              </w:rPr>
              <w:t>业清扫</w:t>
            </w:r>
          </w:p>
          <w:p>
            <w:pPr>
              <w:pStyle w:val="TableText"/>
              <w:ind w:left="216"/>
              <w:spacing w:before="97" w:line="219" w:lineRule="auto"/>
              <w:rPr/>
            </w:pPr>
            <w:r>
              <w:rPr>
                <w:spacing w:val="-5"/>
              </w:rPr>
              <w:t>成本</w:t>
            </w:r>
          </w:p>
        </w:tc>
        <w:tc>
          <w:tcPr>
            <w:tcW w:w="778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19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58" w:line="183" w:lineRule="auto"/>
              <w:rPr/>
            </w:pPr>
            <w:r>
              <w:rPr>
                <w:spacing w:val="-2"/>
              </w:rPr>
              <w:t>3000000</w:t>
            </w:r>
          </w:p>
        </w:tc>
        <w:tc>
          <w:tcPr>
            <w:tcW w:w="9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58" w:line="183" w:lineRule="auto"/>
              <w:rPr/>
            </w:pPr>
            <w:r>
              <w:rPr>
                <w:spacing w:val="-2"/>
              </w:rPr>
              <w:t>2984500</w:t>
            </w:r>
          </w:p>
        </w:tc>
        <w:tc>
          <w:tcPr>
            <w:tcW w:w="784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1"/>
              <w:spacing w:before="58" w:line="220" w:lineRule="auto"/>
              <w:rPr/>
            </w:pPr>
            <w:r>
              <w:rPr/>
              <w:t>元</w:t>
            </w:r>
          </w:p>
        </w:tc>
        <w:tc>
          <w:tcPr>
            <w:tcW w:w="7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58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0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58" w:line="183" w:lineRule="auto"/>
              <w:rPr/>
            </w:pPr>
            <w:r>
              <w:rPr>
                <w:spacing w:val="-2"/>
              </w:rPr>
              <w:t>9.95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8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3" w:type="dxa"/>
            <w:vAlign w:val="top"/>
          </w:tcPr>
          <w:p>
            <w:pPr>
              <w:pStyle w:val="TableText"/>
              <w:ind w:left="334" w:right="151" w:hanging="176"/>
              <w:spacing w:before="226" w:line="307" w:lineRule="auto"/>
              <w:rPr/>
            </w:pPr>
            <w:r>
              <w:rPr>
                <w:spacing w:val="-4"/>
              </w:rPr>
              <w:t>效益指</w:t>
            </w:r>
            <w:r>
              <w:rPr/>
              <w:t xml:space="preserve"> </w:t>
            </w:r>
            <w:r>
              <w:rPr/>
              <w:t>标</w:t>
            </w:r>
          </w:p>
        </w:tc>
        <w:tc>
          <w:tcPr>
            <w:tcW w:w="841" w:type="dxa"/>
            <w:vAlign w:val="top"/>
          </w:tcPr>
          <w:p>
            <w:pPr>
              <w:pStyle w:val="TableText"/>
              <w:ind w:left="244" w:right="147" w:hanging="87"/>
              <w:spacing w:before="225" w:line="308" w:lineRule="auto"/>
              <w:rPr/>
            </w:pPr>
            <w:r>
              <w:rPr>
                <w:spacing w:val="-3"/>
              </w:rPr>
              <w:t>可持续</w:t>
            </w:r>
            <w:r>
              <w:rPr/>
              <w:t xml:space="preserve"> </w:t>
            </w:r>
            <w:r>
              <w:rPr>
                <w:spacing w:val="-4"/>
              </w:rPr>
              <w:t>影响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22" w:right="116"/>
              <w:spacing w:before="70" w:line="294" w:lineRule="auto"/>
              <w:jc w:val="both"/>
              <w:rPr/>
            </w:pPr>
            <w:r>
              <w:rPr>
                <w:spacing w:val="-3"/>
              </w:rPr>
              <w:t>供暖期</w:t>
            </w:r>
            <w:r>
              <w:rPr/>
              <w:t xml:space="preserve"> </w:t>
            </w:r>
            <w:r>
              <w:rPr>
                <w:spacing w:val="-3"/>
              </w:rPr>
              <w:t>及物业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服务期</w:t>
            </w:r>
          </w:p>
        </w:tc>
        <w:tc>
          <w:tcPr>
            <w:tcW w:w="77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9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left="307" w:right="119" w:hanging="180"/>
              <w:spacing w:before="225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9"/>
              <w:spacing w:before="58" w:line="183" w:lineRule="auto"/>
              <w:rPr/>
            </w:pPr>
            <w:r>
              <w:rPr/>
              <w:t>6</w:t>
            </w:r>
          </w:p>
        </w:tc>
        <w:tc>
          <w:tcPr>
            <w:tcW w:w="93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6"/>
              <w:spacing w:before="58" w:line="184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7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58" w:line="219" w:lineRule="auto"/>
              <w:rPr/>
            </w:pPr>
            <w:r>
              <w:rPr/>
              <w:t>月</w:t>
            </w:r>
          </w:p>
        </w:tc>
        <w:tc>
          <w:tcPr>
            <w:tcW w:w="778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/>
              <w:spacing w:before="58" w:line="183" w:lineRule="auto"/>
              <w:rPr/>
            </w:pPr>
            <w:r>
              <w:rPr>
                <w:spacing w:val="-5"/>
              </w:rPr>
              <w:t>30</w:t>
            </w:r>
          </w:p>
        </w:tc>
        <w:tc>
          <w:tcPr>
            <w:tcW w:w="809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58" w:line="183" w:lineRule="auto"/>
              <w:rPr/>
            </w:pPr>
            <w:r>
              <w:rPr>
                <w:spacing w:val="-5"/>
              </w:rPr>
              <w:t>30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63" w:hRule="atLeast"/>
        </w:trPr>
        <w:tc>
          <w:tcPr>
            <w:tcW w:w="84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3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51" w:hanging="93"/>
              <w:spacing w:before="59" w:line="307" w:lineRule="auto"/>
              <w:rPr/>
            </w:pPr>
            <w:r>
              <w:rPr>
                <w:spacing w:val="-3"/>
              </w:rPr>
              <w:t>满意度</w:t>
            </w:r>
            <w:r>
              <w:rPr/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41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59" w:line="219" w:lineRule="auto"/>
              <w:rPr/>
            </w:pPr>
            <w:r>
              <w:rPr>
                <w:spacing w:val="-3"/>
              </w:rPr>
              <w:t>服务对</w:t>
            </w:r>
          </w:p>
          <w:p>
            <w:pPr>
              <w:pStyle w:val="TableText"/>
              <w:ind w:left="161"/>
              <w:spacing w:before="98" w:line="219" w:lineRule="auto"/>
              <w:rPr/>
            </w:pPr>
            <w:r>
              <w:rPr>
                <w:spacing w:val="-5"/>
              </w:rPr>
              <w:t>象满意</w:t>
            </w:r>
          </w:p>
          <w:p>
            <w:pPr>
              <w:pStyle w:val="TableText"/>
              <w:ind w:left="334"/>
              <w:spacing w:before="98" w:line="220" w:lineRule="auto"/>
              <w:rPr/>
            </w:pPr>
            <w:r>
              <w:rPr/>
              <w:t>度</w:t>
            </w:r>
          </w:p>
        </w:tc>
        <w:tc>
          <w:tcPr>
            <w:tcW w:w="778" w:type="dxa"/>
            <w:vAlign w:val="top"/>
          </w:tcPr>
          <w:p>
            <w:pPr>
              <w:pStyle w:val="TableText"/>
              <w:ind w:left="122"/>
              <w:spacing w:before="70" w:line="219" w:lineRule="auto"/>
              <w:rPr/>
            </w:pPr>
            <w:r>
              <w:rPr>
                <w:spacing w:val="-3"/>
              </w:rPr>
              <w:t>对供暖</w:t>
            </w:r>
          </w:p>
          <w:p>
            <w:pPr>
              <w:pStyle w:val="TableText"/>
              <w:ind w:left="127"/>
              <w:spacing w:before="98" w:line="220" w:lineRule="auto"/>
              <w:rPr/>
            </w:pPr>
            <w:r>
              <w:rPr>
                <w:spacing w:val="-4"/>
              </w:rPr>
              <w:t>热度及</w:t>
            </w:r>
          </w:p>
          <w:p>
            <w:pPr>
              <w:pStyle w:val="TableText"/>
              <w:ind w:left="123"/>
              <w:spacing w:before="97" w:line="220" w:lineRule="auto"/>
              <w:rPr/>
            </w:pPr>
            <w:r>
              <w:rPr>
                <w:spacing w:val="-3"/>
              </w:rPr>
              <w:t>环境整</w:t>
            </w:r>
          </w:p>
          <w:p>
            <w:pPr>
              <w:pStyle w:val="TableText"/>
              <w:ind w:left="126"/>
              <w:spacing w:before="97" w:line="219" w:lineRule="auto"/>
              <w:rPr/>
            </w:pPr>
            <w:r>
              <w:rPr>
                <w:spacing w:val="-4"/>
              </w:rPr>
              <w:t>洁的满</w:t>
            </w:r>
          </w:p>
          <w:p>
            <w:pPr>
              <w:pStyle w:val="TableText"/>
              <w:ind w:left="219"/>
              <w:spacing w:before="98" w:line="220" w:lineRule="auto"/>
              <w:rPr/>
            </w:pPr>
            <w:r>
              <w:rPr>
                <w:spacing w:val="-6"/>
              </w:rPr>
              <w:t>意度</w:t>
            </w:r>
          </w:p>
        </w:tc>
        <w:tc>
          <w:tcPr>
            <w:tcW w:w="77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8" w:line="221" w:lineRule="auto"/>
              <w:rPr/>
            </w:pPr>
            <w:r>
              <w:rPr>
                <w:spacing w:val="-6"/>
              </w:rPr>
              <w:t>正向</w:t>
            </w:r>
          </w:p>
        </w:tc>
        <w:tc>
          <w:tcPr>
            <w:tcW w:w="78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19" w:hanging="180"/>
              <w:spacing w:before="59" w:line="309" w:lineRule="auto"/>
              <w:rPr/>
            </w:pPr>
            <w:r>
              <w:rPr>
                <w:spacing w:val="-4"/>
              </w:rPr>
              <w:t>大于等</w:t>
            </w:r>
            <w:r>
              <w:rPr>
                <w:spacing w:val="1"/>
              </w:rPr>
              <w:t xml:space="preserve"> </w:t>
            </w:r>
            <w:r>
              <w:rPr/>
              <w:t>于</w:t>
            </w:r>
          </w:p>
        </w:tc>
        <w:tc>
          <w:tcPr>
            <w:tcW w:w="93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/>
              <w:spacing w:before="59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93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59" w:line="183" w:lineRule="auto"/>
              <w:rPr/>
            </w:pPr>
            <w:r>
              <w:rPr>
                <w:spacing w:val="-4"/>
              </w:rPr>
              <w:t>95</w:t>
            </w:r>
          </w:p>
        </w:tc>
        <w:tc>
          <w:tcPr>
            <w:tcW w:w="78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59" w:line="220" w:lineRule="auto"/>
              <w:rPr/>
            </w:pPr>
            <w:r>
              <w:rPr>
                <w:spacing w:val="-5"/>
              </w:rPr>
              <w:t>百分比</w:t>
            </w:r>
          </w:p>
        </w:tc>
        <w:tc>
          <w:tcPr>
            <w:tcW w:w="778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0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/>
              <w:spacing w:before="59" w:line="184" w:lineRule="auto"/>
              <w:rPr/>
            </w:pPr>
            <w:r>
              <w:rPr>
                <w:spacing w:val="-10"/>
              </w:rPr>
              <w:t>10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9" w:hRule="atLeast"/>
        </w:trPr>
        <w:tc>
          <w:tcPr>
            <w:tcW w:w="7522" w:type="dxa"/>
            <w:vAlign w:val="top"/>
            <w:gridSpan w:val="9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91"/>
              <w:spacing w:before="58" w:line="220" w:lineRule="auto"/>
              <w:rPr/>
            </w:pPr>
            <w:r>
              <w:rPr>
                <w:spacing w:val="-6"/>
              </w:rPr>
              <w:t>总分</w:t>
            </w:r>
          </w:p>
        </w:tc>
        <w:tc>
          <w:tcPr>
            <w:tcW w:w="77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59" w:line="184" w:lineRule="auto"/>
              <w:rPr/>
            </w:pPr>
            <w:r>
              <w:rPr>
                <w:spacing w:val="-7"/>
              </w:rPr>
              <w:t>100</w:t>
            </w:r>
          </w:p>
        </w:tc>
        <w:tc>
          <w:tcPr>
            <w:tcW w:w="80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59" w:line="183" w:lineRule="auto"/>
              <w:rPr/>
            </w:pPr>
            <w:r>
              <w:rPr>
                <w:spacing w:val="-2"/>
              </w:rPr>
              <w:t>99.95</w:t>
            </w: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ind w:left="602"/>
        <w:spacing w:before="101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1"/>
          <w:position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64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1"/>
          <w:position w:val="1"/>
        </w:rPr>
        <w:t>三）单位项目绩效评价结果。</w:t>
      </w:r>
    </w:p>
    <w:p>
      <w:pPr>
        <w:pStyle w:val="BodyText"/>
        <w:spacing w:line="352" w:lineRule="auto"/>
        <w:rPr/>
      </w:pPr>
      <w:r/>
    </w:p>
    <w:p>
      <w:pPr>
        <w:ind w:left="451"/>
        <w:spacing w:before="101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本单位本年没有重点项目绩效评价。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4054"/>
        <w:spacing w:before="101" w:line="239" w:lineRule="auto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第三部分</w:t>
      </w:r>
      <w:r>
        <w:rPr>
          <w:rFonts w:ascii="KaiTi" w:hAnsi="KaiTi" w:eastAsia="KaiTi" w:cs="KaiTi"/>
          <w:sz w:val="31"/>
          <w:szCs w:val="31"/>
          <w:spacing w:val="118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名词解释</w:t>
      </w:r>
    </w:p>
    <w:p>
      <w:pPr>
        <w:pStyle w:val="BodyText"/>
        <w:spacing w:line="417" w:lineRule="auto"/>
        <w:rPr/>
      </w:pPr>
      <w:r/>
    </w:p>
    <w:p>
      <w:pPr>
        <w:ind w:left="138" w:right="114" w:firstLine="914"/>
        <w:spacing w:before="101" w:line="35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一、财政拨款收入：</w:t>
      </w:r>
      <w:r>
        <w:rPr>
          <w:rFonts w:ascii="FangSong" w:hAnsi="FangSong" w:eastAsia="FangSong" w:cs="FangSong"/>
          <w:sz w:val="31"/>
          <w:szCs w:val="31"/>
          <w:spacing w:val="3"/>
        </w:rPr>
        <w:t>从同级财政部门取得的各类财政拨款，包括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一般公共预算财政拨款、政府性基金预算财政拨款、国有资本经营预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算财政拨款。</w:t>
      </w:r>
    </w:p>
    <w:p>
      <w:pPr>
        <w:ind w:left="131" w:right="116" w:firstLine="511"/>
        <w:spacing w:before="302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二、上级补助收入：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指事业单位从主管部门和上级单位取得的非财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政补助收入。</w:t>
      </w:r>
    </w:p>
    <w:p>
      <w:pPr>
        <w:spacing w:line="353" w:lineRule="auto"/>
        <w:sectPr>
          <w:footerReference w:type="default" r:id="rId24"/>
          <w:pgSz w:w="11906" w:h="16839"/>
          <w:pgMar w:top="1431" w:right="970" w:bottom="1091" w:left="970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1" w:right="126" w:firstLine="518"/>
        <w:spacing w:before="144" w:line="3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三、财政专户管理教育收费：</w:t>
      </w:r>
      <w:r>
        <w:rPr>
          <w:rFonts w:ascii="FangSong" w:hAnsi="FangSong" w:eastAsia="FangSong" w:cs="FangSong"/>
          <w:sz w:val="31"/>
          <w:szCs w:val="31"/>
          <w:spacing w:val="6"/>
        </w:rPr>
        <w:t>指缴入财政专户、实行专项</w:t>
      </w:r>
      <w:r>
        <w:rPr>
          <w:rFonts w:ascii="FangSong" w:hAnsi="FangSong" w:eastAsia="FangSong" w:cs="FangSong"/>
          <w:sz w:val="31"/>
          <w:szCs w:val="31"/>
          <w:spacing w:val="5"/>
        </w:rPr>
        <w:t>管理的高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中以上学费、住宿费、高校委托培养费、函大、电大、夜大及短训班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培训费等教育收费。</w:t>
      </w:r>
    </w:p>
    <w:p>
      <w:pPr>
        <w:pStyle w:val="BodyText"/>
        <w:spacing w:line="348" w:lineRule="auto"/>
        <w:rPr/>
      </w:pPr>
      <w:r/>
    </w:p>
    <w:p>
      <w:pPr>
        <w:ind w:left="32" w:right="126" w:firstLine="521"/>
        <w:spacing w:before="101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四、事业收入：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指事业单位开展专业业务活动</w:t>
      </w:r>
      <w:r>
        <w:rPr>
          <w:rFonts w:ascii="FangSong" w:hAnsi="FangSong" w:eastAsia="FangSong" w:cs="FangSong"/>
          <w:sz w:val="31"/>
          <w:szCs w:val="31"/>
          <w:spacing w:val="5"/>
        </w:rPr>
        <w:t>及其辅助活动取得的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收入。</w:t>
      </w:r>
    </w:p>
    <w:p>
      <w:pPr>
        <w:pStyle w:val="BodyText"/>
        <w:spacing w:line="348" w:lineRule="auto"/>
        <w:rPr/>
      </w:pPr>
      <w:r/>
    </w:p>
    <w:p>
      <w:pPr>
        <w:ind w:left="26" w:right="126" w:firstLine="495"/>
        <w:spacing w:before="101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五、经营收入：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指事业单位在专业业务活动及其辅助活</w:t>
      </w:r>
      <w:r>
        <w:rPr>
          <w:rFonts w:ascii="FangSong" w:hAnsi="FangSong" w:eastAsia="FangSong" w:cs="FangSong"/>
          <w:sz w:val="31"/>
          <w:szCs w:val="31"/>
          <w:spacing w:val="6"/>
        </w:rPr>
        <w:t>动之外开展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非独立核算经营活动取得的收入。</w:t>
      </w:r>
    </w:p>
    <w:p>
      <w:pPr>
        <w:pStyle w:val="BodyText"/>
        <w:spacing w:line="349" w:lineRule="auto"/>
        <w:rPr/>
      </w:pPr>
      <w:r/>
    </w:p>
    <w:p>
      <w:pPr>
        <w:ind w:left="22" w:right="126" w:firstLine="506"/>
        <w:spacing w:before="101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六、附属单位上缴收入：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指事业单位取得附属独立核算单位按照有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关规定上缴的收入。</w:t>
      </w:r>
    </w:p>
    <w:p>
      <w:pPr>
        <w:pStyle w:val="BodyText"/>
        <w:spacing w:line="346" w:lineRule="auto"/>
        <w:rPr/>
      </w:pPr>
      <w:r/>
    </w:p>
    <w:p>
      <w:pPr>
        <w:ind w:firstLine="523"/>
        <w:spacing w:before="100" w:line="36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pict>
          <v:shape id="_x0000_s2" style="position:absolute;margin-left:471.019pt;margin-top:5.22883pt;mso-position-vertical-relative:text;mso-position-horizontal-relative:text;width:18.75pt;height:6.2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93" w:lineRule="auto"/>
                    <w:rPr>
                      <w:rFonts w:ascii="FangSong" w:hAnsi="FangSong" w:eastAsia="FangSong" w:cs="FangSong"/>
                      <w:sz w:val="8"/>
                      <w:szCs w:val="8"/>
                    </w:rPr>
                  </w:pPr>
                  <w:r>
                    <w:rPr>
                      <w:rFonts w:ascii="FangSong" w:hAnsi="FangSong" w:eastAsia="FangSong" w:cs="FangSong"/>
                      <w:sz w:val="8"/>
                      <w:szCs w:val="8"/>
                      <w:spacing w:val="194"/>
                      <w:w w:val="175"/>
                    </w:rPr>
                    <w:t>”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31"/>
          <w:szCs w:val="31"/>
          <w:b/>
          <w:bCs/>
          <w:spacing w:val="-5"/>
        </w:rPr>
        <w:t>七、其他收入：</w:t>
      </w:r>
      <w:r>
        <w:rPr>
          <w:rFonts w:ascii="FangSong" w:hAnsi="FangSong" w:eastAsia="FangSong" w:cs="FangSong"/>
          <w:sz w:val="31"/>
          <w:szCs w:val="31"/>
          <w:spacing w:val="-5"/>
        </w:rPr>
        <w:t>取得的除上述“财政拨款收入”、“上级补助收入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“事业收入”、“经营收入”、“</w:t>
      </w:r>
      <w:r>
        <w:rPr>
          <w:rFonts w:ascii="FangSong" w:hAnsi="FangSong" w:eastAsia="FangSong" w:cs="FangSong"/>
          <w:sz w:val="31"/>
          <w:szCs w:val="31"/>
          <w:spacing w:val="-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附属单位上缴收入”等以外的各项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收入。</w:t>
      </w:r>
    </w:p>
    <w:p>
      <w:pPr>
        <w:ind w:left="24" w:right="126" w:firstLine="488"/>
        <w:spacing w:before="300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八、使用非财政拨款结余和专用结余：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指事业单位按照预算管理要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求使用非财政拨款结余和专用结余弥补当年收支差额的数额。</w:t>
      </w:r>
    </w:p>
    <w:p>
      <w:pPr>
        <w:ind w:left="15" w:right="110" w:firstLine="503"/>
        <w:spacing w:before="304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九、年初结转和结余：</w:t>
      </w:r>
      <w:r>
        <w:rPr>
          <w:rFonts w:ascii="FangSong" w:hAnsi="FangSong" w:eastAsia="FangSong" w:cs="FangSong"/>
          <w:sz w:val="31"/>
          <w:szCs w:val="31"/>
          <w:spacing w:val="7"/>
        </w:rPr>
        <w:t>指单位上年结转本年使用的基本支出结转、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项目支出结转和结余、经营结余。</w:t>
      </w:r>
    </w:p>
    <w:p>
      <w:pPr>
        <w:ind w:left="17" w:right="126" w:firstLine="505"/>
        <w:spacing w:before="309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十、结余分配：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指事业单位按规定缴纳企业所得税以</w:t>
      </w:r>
      <w:r>
        <w:rPr>
          <w:rFonts w:ascii="FangSong" w:hAnsi="FangSong" w:eastAsia="FangSong" w:cs="FangSong"/>
          <w:sz w:val="31"/>
          <w:szCs w:val="31"/>
          <w:spacing w:val="6"/>
        </w:rPr>
        <w:t>及从非财政拨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款结余或经营结余中提取各类结余的情况。</w:t>
      </w:r>
    </w:p>
    <w:p>
      <w:pPr>
        <w:spacing w:line="353" w:lineRule="auto"/>
        <w:sectPr>
          <w:footerReference w:type="default" r:id="rId25"/>
          <w:pgSz w:w="11906" w:h="16839"/>
          <w:pgMar w:top="1431" w:right="958" w:bottom="1091" w:left="1086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6" w:right="126" w:firstLine="444"/>
        <w:spacing w:before="143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十一、年末结转和结余资金：</w:t>
      </w:r>
      <w:r>
        <w:rPr>
          <w:rFonts w:ascii="FangSong" w:hAnsi="FangSong" w:eastAsia="FangSong" w:cs="FangSong"/>
          <w:sz w:val="31"/>
          <w:szCs w:val="31"/>
          <w:spacing w:val="6"/>
        </w:rPr>
        <w:t>指单位结转下年的基本支出结转、项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目支出结转和结余、经营结余。</w:t>
      </w:r>
    </w:p>
    <w:p>
      <w:pPr>
        <w:ind w:left="19" w:right="126" w:firstLine="490"/>
        <w:spacing w:before="306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十二、基本支出：</w:t>
      </w:r>
      <w:r>
        <w:rPr>
          <w:rFonts w:ascii="FangSong" w:hAnsi="FangSong" w:eastAsia="FangSong" w:cs="FangSong"/>
          <w:sz w:val="31"/>
          <w:szCs w:val="31"/>
          <w:spacing w:val="3"/>
        </w:rPr>
        <w:t>指为保障机构正常运转、完成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日常工作任务所发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生的支出，包括人员经费和公用经费。</w:t>
      </w:r>
    </w:p>
    <w:p>
      <w:pPr>
        <w:pStyle w:val="BodyText"/>
        <w:spacing w:line="348" w:lineRule="auto"/>
        <w:rPr/>
      </w:pPr>
      <w:r/>
    </w:p>
    <w:p>
      <w:pPr>
        <w:ind w:left="19" w:right="126" w:firstLine="490"/>
        <w:spacing w:before="101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十三、项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目支出：</w:t>
      </w:r>
      <w:r>
        <w:rPr>
          <w:rFonts w:ascii="FangSong" w:hAnsi="FangSong" w:eastAsia="FangSong" w:cs="FangSong"/>
          <w:sz w:val="31"/>
          <w:szCs w:val="31"/>
          <w:spacing w:val="4"/>
        </w:rPr>
        <w:t>指在为完成特定的工作任务</w:t>
      </w:r>
      <w:r>
        <w:rPr>
          <w:rFonts w:ascii="FangSong" w:hAnsi="FangSong" w:eastAsia="FangSong" w:cs="FangSong"/>
          <w:sz w:val="31"/>
          <w:szCs w:val="31"/>
          <w:spacing w:val="3"/>
        </w:rPr>
        <w:t>和事业发展目标所发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生的支出。</w:t>
      </w:r>
    </w:p>
    <w:p>
      <w:pPr>
        <w:pStyle w:val="BodyText"/>
        <w:spacing w:line="345" w:lineRule="auto"/>
        <w:rPr/>
      </w:pPr>
      <w:r/>
    </w:p>
    <w:p>
      <w:pPr>
        <w:ind w:left="7" w:right="126" w:firstLine="503"/>
        <w:spacing w:before="101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十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四、上缴上级支出：</w:t>
      </w:r>
      <w:r>
        <w:rPr>
          <w:rFonts w:ascii="FangSong" w:hAnsi="FangSong" w:eastAsia="FangSong" w:cs="FangSong"/>
          <w:sz w:val="31"/>
          <w:szCs w:val="31"/>
          <w:spacing w:val="4"/>
        </w:rPr>
        <w:t>指事业单位按照财政部门和主管部门的规定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上缴上级单位的支出。</w:t>
      </w:r>
    </w:p>
    <w:p>
      <w:pPr>
        <w:pStyle w:val="BodyText"/>
        <w:spacing w:line="351" w:lineRule="auto"/>
        <w:rPr/>
      </w:pPr>
      <w:r/>
    </w:p>
    <w:p>
      <w:pPr>
        <w:ind w:left="1" w:right="126" w:firstLine="509"/>
        <w:spacing w:before="102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十五、经营支出：</w:t>
      </w:r>
      <w:r>
        <w:rPr>
          <w:rFonts w:ascii="FangSong" w:hAnsi="FangSong" w:eastAsia="FangSong" w:cs="FangSong"/>
          <w:sz w:val="31"/>
          <w:szCs w:val="31"/>
          <w:spacing w:val="7"/>
        </w:rPr>
        <w:t>指事业单位在专业业务活</w:t>
      </w:r>
      <w:r>
        <w:rPr>
          <w:rFonts w:ascii="FangSong" w:hAnsi="FangSong" w:eastAsia="FangSong" w:cs="FangSong"/>
          <w:sz w:val="31"/>
          <w:szCs w:val="31"/>
          <w:spacing w:val="6"/>
        </w:rPr>
        <w:t>动及其辅助活动之外开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展非独立核算经营活动发生的支出。</w:t>
      </w:r>
    </w:p>
    <w:p>
      <w:pPr>
        <w:pStyle w:val="BodyText"/>
        <w:spacing w:line="349" w:lineRule="auto"/>
        <w:rPr/>
      </w:pPr>
      <w:r/>
    </w:p>
    <w:p>
      <w:pPr>
        <w:ind w:left="2" w:right="126" w:firstLine="507"/>
        <w:spacing w:before="101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十六、对附属单位补助支出：</w:t>
      </w:r>
      <w:r>
        <w:rPr>
          <w:rFonts w:ascii="FangSong" w:hAnsi="FangSong" w:eastAsia="FangSong" w:cs="FangSong"/>
          <w:sz w:val="31"/>
          <w:szCs w:val="31"/>
          <w:spacing w:val="6"/>
        </w:rPr>
        <w:t>指事业单位用财政拨款收入之外的收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入对附属单位补助发生的支出。</w:t>
      </w:r>
    </w:p>
    <w:p>
      <w:pPr>
        <w:pStyle w:val="BodyText"/>
        <w:spacing w:line="355" w:lineRule="auto"/>
        <w:rPr/>
      </w:pPr>
      <w:r/>
    </w:p>
    <w:p>
      <w:pPr>
        <w:ind w:firstLine="510"/>
        <w:spacing w:before="101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</w:rPr>
        <w:t>十七、“三公”经费：</w:t>
      </w:r>
      <w:r>
        <w:rPr>
          <w:rFonts w:ascii="FangSong" w:hAnsi="FangSong" w:eastAsia="FangSong" w:cs="FangSong"/>
          <w:sz w:val="31"/>
          <w:szCs w:val="31"/>
        </w:rPr>
        <w:t>指单位用财政拨款安排的因公出国（境）费、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公务用车购置及运行维护费和公务接待费。其中，因公出国（境）费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反映单位)公务出国（境）的国际旅费、国外城市间交通费、住宿费、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伙食费、培训费、公杂费等支出；公务用车购置及运行维护费反映单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位公务用车购置支出（含车辆购置税、牌照费）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以及按规定保留的公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务用车燃料费、维修费、过路过桥费、保险</w:t>
      </w:r>
      <w:r>
        <w:rPr>
          <w:rFonts w:ascii="FangSong" w:hAnsi="FangSong" w:eastAsia="FangSong" w:cs="FangSong"/>
          <w:sz w:val="31"/>
          <w:szCs w:val="31"/>
          <w:spacing w:val="7"/>
        </w:rPr>
        <w:t>费、安全奖励费用等支出；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公务接待费反映单位按规定开支的各类公务接待（含外宾接待）费用。</w:t>
      </w:r>
    </w:p>
    <w:p>
      <w:pPr>
        <w:spacing w:line="353" w:lineRule="auto"/>
        <w:sectPr>
          <w:footerReference w:type="default" r:id="rId26"/>
          <w:pgSz w:w="11906" w:h="16839"/>
          <w:pgMar w:top="1431" w:right="958" w:bottom="1091" w:left="1099" w:header="0" w:footer="9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firstLine="504"/>
        <w:spacing w:before="146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十八、机构运行经费：</w:t>
      </w:r>
      <w:r>
        <w:rPr>
          <w:rFonts w:ascii="FangSong" w:hAnsi="FangSong" w:eastAsia="FangSong" w:cs="FangSong"/>
          <w:sz w:val="31"/>
          <w:szCs w:val="31"/>
          <w:spacing w:val="6"/>
        </w:rPr>
        <w:t>指单位使用一般公共预算安排的基本支出中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的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日常公用经费支出，包括办公及印刷费、邮电费、差旅费、会议费、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福利费、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日常维修费、专用材料及一般设备购置费、办公用房水电费、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办公用房取暖费、办公用房物业管理费、公务用车运行维护费及其他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"/>
        </w:rPr>
        <w:t>费用等。</w:t>
      </w:r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ind w:left="1356"/>
        <w:spacing w:before="114" w:line="237" w:lineRule="auto"/>
        <w:outlineLvl w:val="0"/>
        <w:rPr>
          <w:rFonts w:ascii="KaiTi" w:hAnsi="KaiTi" w:eastAsia="KaiTi" w:cs="KaiTi"/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b/>
          <w:bCs/>
          <w:spacing w:val="5"/>
        </w:rPr>
        <w:t>第四部分</w:t>
      </w:r>
      <w:r>
        <w:rPr>
          <w:rFonts w:ascii="KaiTi" w:hAnsi="KaiTi" w:eastAsia="KaiTi" w:cs="KaiTi"/>
          <w:sz w:val="35"/>
          <w:szCs w:val="35"/>
          <w:spacing w:val="5"/>
        </w:rPr>
        <w:t xml:space="preserve"> </w:t>
      </w:r>
      <w:r>
        <w:rPr>
          <w:rFonts w:ascii="KaiTi" w:hAnsi="KaiTi" w:eastAsia="KaiTi" w:cs="KaiTi"/>
          <w:sz w:val="35"/>
          <w:szCs w:val="35"/>
          <w:b/>
          <w:bCs/>
          <w:spacing w:val="5"/>
        </w:rPr>
        <w:t>决算公开联系方式及信息反馈渠道</w:t>
      </w:r>
    </w:p>
    <w:p>
      <w:pPr>
        <w:pStyle w:val="BodyText"/>
        <w:spacing w:line="313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pStyle w:val="BodyText"/>
        <w:spacing w:line="314" w:lineRule="auto"/>
        <w:rPr/>
      </w:pPr>
      <w:r/>
    </w:p>
    <w:p>
      <w:pPr>
        <w:ind w:left="898"/>
        <w:spacing w:before="101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本单位决算公开信息反馈和联系方式：</w:t>
      </w:r>
    </w:p>
    <w:p>
      <w:pPr>
        <w:pStyle w:val="BodyText"/>
        <w:spacing w:line="351" w:lineRule="auto"/>
        <w:rPr/>
      </w:pPr>
      <w:r/>
    </w:p>
    <w:p>
      <w:pPr>
        <w:ind w:left="488"/>
        <w:spacing w:before="101" w:line="2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联系人：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>王文静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6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7"/>
        </w:rPr>
        <w:t>联系电话：18248146872</w:t>
      </w:r>
    </w:p>
    <w:p>
      <w:pPr>
        <w:pStyle w:val="BodyText"/>
        <w:spacing w:line="314" w:lineRule="auto"/>
        <w:rPr/>
      </w:pPr>
      <w:r/>
    </w:p>
    <w:p>
      <w:pPr>
        <w:ind w:left="3163"/>
        <w:spacing w:before="114" w:line="239" w:lineRule="auto"/>
        <w:rPr>
          <w:rFonts w:ascii="KaiTi" w:hAnsi="KaiTi" w:eastAsia="KaiTi" w:cs="KaiTi"/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b/>
          <w:bCs/>
          <w:spacing w:val="3"/>
        </w:rPr>
        <w:t>第五部分</w:t>
      </w:r>
      <w:r>
        <w:rPr>
          <w:rFonts w:ascii="KaiTi" w:hAnsi="KaiTi" w:eastAsia="KaiTi" w:cs="KaiTi"/>
          <w:sz w:val="35"/>
          <w:szCs w:val="35"/>
          <w:spacing w:val="3"/>
        </w:rPr>
        <w:t xml:space="preserve"> </w:t>
      </w:r>
      <w:r>
        <w:rPr>
          <w:rFonts w:ascii="KaiTi" w:hAnsi="KaiTi" w:eastAsia="KaiTi" w:cs="KaiTi"/>
          <w:sz w:val="35"/>
          <w:szCs w:val="35"/>
          <w:b/>
          <w:bCs/>
          <w:spacing w:val="3"/>
        </w:rPr>
        <w:t>单位决算表</w:t>
      </w:r>
    </w:p>
    <w:p>
      <w:pPr>
        <w:pStyle w:val="BodyText"/>
        <w:spacing w:line="329" w:lineRule="auto"/>
        <w:rPr/>
      </w:pPr>
      <w:r/>
    </w:p>
    <w:p>
      <w:pPr>
        <w:ind w:left="5"/>
        <w:spacing w:before="102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3"/>
          <w:position w:val="1"/>
        </w:rPr>
        <w:t>见附件</w:t>
      </w:r>
    </w:p>
    <w:sectPr>
      <w:footerReference w:type="default" r:id="rId27"/>
      <w:pgSz w:w="11906" w:h="16839"/>
      <w:pgMar w:top="1431" w:right="958" w:bottom="1091" w:left="1106" w:header="0" w:footer="92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1"/>
      <w:spacing w:line="173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9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7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9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9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25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47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5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0" Type="http://schemas.openxmlformats.org/officeDocument/2006/relationships/fontTable" Target="fontTable.xml"/><Relationship Id="rId3" Type="http://schemas.openxmlformats.org/officeDocument/2006/relationships/footer" Target="footer3.xml"/><Relationship Id="rId29" Type="http://schemas.openxmlformats.org/officeDocument/2006/relationships/styles" Target="styles.xml"/><Relationship Id="rId28" Type="http://schemas.openxmlformats.org/officeDocument/2006/relationships/settings" Target="settings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2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image" Target="media/image2.jpeg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××年度××部门/单位</dc:title>
  <dc:creator>Administrator</dc:creator>
  <dcterms:created xsi:type="dcterms:W3CDTF">2024-09-29T17:49:20Z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2024-10-08T09:59:05</vt:filetime>
  </property>
</Properties>
</file>